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774">
        <w:rPr>
          <w:rFonts w:eastAsia="Times New Roman" w:cs="Times New Roman"/>
          <w:sz w:val="24"/>
          <w:szCs w:val="24"/>
          <w:lang w:eastAsia="ru-RU"/>
        </w:rPr>
        <w:t>МАТЕРИАЛЫ</w:t>
      </w:r>
    </w:p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774">
        <w:rPr>
          <w:rFonts w:eastAsia="Times New Roman" w:cs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4D1380" w:rsidRPr="00F80774" w:rsidRDefault="004D1380" w:rsidP="004D138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0774">
        <w:rPr>
          <w:rFonts w:eastAsia="Times New Roman" w:cs="Times New Roman"/>
          <w:sz w:val="24"/>
          <w:szCs w:val="24"/>
          <w:lang w:eastAsia="ru-RU"/>
        </w:rPr>
        <w:t>(май 2023 г.)</w:t>
      </w:r>
    </w:p>
    <w:p w:rsidR="004D1380" w:rsidRPr="004D1380" w:rsidRDefault="004D1380" w:rsidP="004D1380">
      <w:pPr>
        <w:jc w:val="both"/>
        <w:rPr>
          <w:rFonts w:eastAsia="Times New Roman" w:cs="Times New Roman"/>
          <w:szCs w:val="30"/>
          <w:lang w:eastAsia="ru-RU"/>
        </w:rPr>
      </w:pPr>
    </w:p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 w:val="29"/>
          <w:szCs w:val="29"/>
          <w:lang w:eastAsia="ru-RU"/>
        </w:rPr>
      </w:pPr>
      <w:r w:rsidRPr="00F80774">
        <w:rPr>
          <w:rFonts w:eastAsia="Calibri" w:cs="Times New Roman"/>
          <w:b/>
          <w:sz w:val="29"/>
          <w:szCs w:val="29"/>
          <w:lang w:eastAsia="ru-RU"/>
        </w:rPr>
        <w:t xml:space="preserve">ОБ ИТОГАХ СОЦИАЛЬНО-ЭКОНОМИЧЕСКОГО </w:t>
      </w:r>
    </w:p>
    <w:p w:rsidR="004D1380" w:rsidRPr="00F80774" w:rsidRDefault="004D1380" w:rsidP="004D1380">
      <w:pPr>
        <w:spacing w:line="280" w:lineRule="exact"/>
        <w:ind w:right="-5178"/>
        <w:rPr>
          <w:rFonts w:eastAsia="Times New Roman" w:cs="Times New Roman"/>
          <w:b/>
          <w:sz w:val="29"/>
          <w:szCs w:val="29"/>
          <w:lang w:eastAsia="ru-RU"/>
        </w:rPr>
      </w:pPr>
      <w:r w:rsidRPr="00F80774">
        <w:rPr>
          <w:rFonts w:eastAsia="Calibri" w:cs="Times New Roman"/>
          <w:b/>
          <w:sz w:val="29"/>
          <w:szCs w:val="29"/>
          <w:lang w:eastAsia="ru-RU"/>
        </w:rPr>
        <w:t xml:space="preserve">РАЗВИТИЯ ГРОДНЕНСКОЙ ОБЛАСТИ </w:t>
      </w:r>
      <w:r w:rsidRPr="00F80774">
        <w:rPr>
          <w:rFonts w:eastAsia="Times New Roman" w:cs="Times New Roman"/>
          <w:b/>
          <w:sz w:val="29"/>
          <w:szCs w:val="29"/>
          <w:lang w:eastAsia="ru-RU"/>
        </w:rPr>
        <w:t xml:space="preserve">ЗА ЯНВАРЬ – МАРТ 2023 </w:t>
      </w:r>
      <w:r w:rsidR="00F80774">
        <w:rPr>
          <w:rFonts w:eastAsia="Times New Roman" w:cs="Times New Roman"/>
          <w:b/>
          <w:sz w:val="29"/>
          <w:szCs w:val="29"/>
          <w:lang w:eastAsia="ru-RU"/>
        </w:rPr>
        <w:t>г</w:t>
      </w:r>
      <w:bookmarkStart w:id="0" w:name="_GoBack"/>
      <w:bookmarkEnd w:id="0"/>
      <w:r w:rsidRPr="00F80774">
        <w:rPr>
          <w:rFonts w:eastAsia="Times New Roman" w:cs="Times New Roman"/>
          <w:b/>
          <w:sz w:val="29"/>
          <w:szCs w:val="29"/>
          <w:lang w:eastAsia="ru-RU"/>
        </w:rPr>
        <w:t xml:space="preserve">. </w:t>
      </w:r>
    </w:p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 w:val="29"/>
          <w:szCs w:val="29"/>
          <w:lang w:val="be-BY" w:eastAsia="ru-RU"/>
        </w:rPr>
      </w:pPr>
    </w:p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9"/>
          <w:szCs w:val="29"/>
          <w:lang w:eastAsia="ru-RU"/>
        </w:rPr>
      </w:pPr>
      <w:r w:rsidRPr="00F80774">
        <w:rPr>
          <w:rFonts w:eastAsia="Calibri" w:cs="Times New Roman"/>
          <w:i/>
          <w:sz w:val="29"/>
          <w:szCs w:val="29"/>
          <w:lang w:eastAsia="ru-RU"/>
        </w:rPr>
        <w:t xml:space="preserve">Материал подготовлен </w:t>
      </w:r>
    </w:p>
    <w:p w:rsidR="004D1380" w:rsidRPr="00F80774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9"/>
          <w:szCs w:val="29"/>
          <w:lang w:eastAsia="ru-RU"/>
        </w:rPr>
      </w:pPr>
      <w:r w:rsidRPr="00F80774">
        <w:rPr>
          <w:rFonts w:eastAsia="Calibri" w:cs="Times New Roman"/>
          <w:i/>
          <w:sz w:val="29"/>
          <w:szCs w:val="29"/>
          <w:lang w:eastAsia="ru-RU"/>
        </w:rPr>
        <w:t>комитетом экономики Гродненского облисполкома</w:t>
      </w:r>
    </w:p>
    <w:p w:rsidR="000D076C" w:rsidRPr="00F80774" w:rsidRDefault="000D076C" w:rsidP="000D076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sz w:val="29"/>
          <w:szCs w:val="29"/>
        </w:rPr>
      </w:pP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  <w:lang w:eastAsia="ru-RU"/>
        </w:rPr>
      </w:pPr>
      <w:r w:rsidRPr="00F80774">
        <w:rPr>
          <w:rFonts w:eastAsia="Calibri" w:cs="Times New Roman"/>
          <w:sz w:val="29"/>
          <w:szCs w:val="29"/>
          <w:lang w:eastAsia="ru-RU"/>
        </w:rPr>
        <w:t>В январе - марте 2023 г. объем валового регионального продукта составил 5,0 млрд. рублей, или 100,2% к январю -  марту 2022 г. (задание на январь – март 2023 г. – 101,0%), в том числе по видам деятельности: промышленность – 102,0% (удельный вес – 38,1%), сельское, лесное и рыбное хозяйство – 104,3% (4,6 %), строительство – 106,6% (4,2 %), оптовая и розничная торговля; ремонт автомобилей и мотоциклов – 95,5% (5,3%), транспортная деятельность, складирование, почтовая и курьерская деятельность – 81,1% (3,6%).</w:t>
      </w:r>
    </w:p>
    <w:p w:rsidR="000D076C" w:rsidRPr="00F80774" w:rsidRDefault="000D076C" w:rsidP="000D076C">
      <w:pPr>
        <w:ind w:firstLine="709"/>
        <w:contextualSpacing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Произведено промышленной продукции на сумму 4,8 млрд. рублей (11,0 % в объеме республики), индекс физического объема производства по набору товаров-представителей составил 101,8 % (январь – март     2022 г. – 109,4 %), в том числе: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обрабатывающая промышленность – 102,3 % (удельный вес в общем объеме производства – 85,4 %); </w:t>
      </w:r>
    </w:p>
    <w:p w:rsidR="000D076C" w:rsidRPr="00F80774" w:rsidRDefault="000D076C" w:rsidP="000D076C">
      <w:pPr>
        <w:ind w:firstLine="709"/>
        <w:contextualSpacing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снабжение электроэнергией, газом, паром, горячей водой и кондиционированным воздухом – 100,1 % (13,0 %); </w:t>
      </w:r>
    </w:p>
    <w:p w:rsidR="000D076C" w:rsidRPr="00F80774" w:rsidRDefault="000D076C" w:rsidP="000D076C">
      <w:pPr>
        <w:ind w:firstLine="709"/>
        <w:contextualSpacing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водоснабжение; сбор, обработка и удаление отходов, деятельность по ликвидации загрязнений – 103,1 % (1,5 %); </w:t>
      </w:r>
    </w:p>
    <w:p w:rsidR="000D076C" w:rsidRPr="00F80774" w:rsidRDefault="000D076C" w:rsidP="000D076C">
      <w:pPr>
        <w:ind w:firstLine="709"/>
        <w:contextualSpacing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горнодобывающая промышленность – 115,0 % (0,1 %).</w:t>
      </w:r>
    </w:p>
    <w:p w:rsidR="000D076C" w:rsidRPr="00F80774" w:rsidRDefault="000D076C" w:rsidP="000D076C">
      <w:pPr>
        <w:tabs>
          <w:tab w:val="left" w:pos="3969"/>
        </w:tabs>
        <w:ind w:firstLine="709"/>
        <w:jc w:val="both"/>
        <w:rPr>
          <w:rFonts w:eastAsia="Calibri" w:cs="Times New Roman"/>
          <w:bCs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На 1 апреля 2023 г. на складах промышленных предприятий области находилось готовой продукции на сумму 1246,5 млн. рублей, удельный вес запасов в среднемесячном объеме производства составил 92,8 %, в том числе </w:t>
      </w:r>
      <w:r w:rsidRPr="00F80774">
        <w:rPr>
          <w:rFonts w:eastAsia="Calibri" w:cs="Times New Roman"/>
          <w:bCs/>
          <w:sz w:val="29"/>
          <w:szCs w:val="29"/>
        </w:rPr>
        <w:t>по организациям, подчиненным республиканским органам государственного управления, - 663,1 млн. рублей, или 105,9 %; по организациям, подчиненным местным Советам депутатов, исполнительным и распорядительным органам, – 285,1 млн. рублей, или 70,8 %; по юридическим лицам без ведомственной подчиненности – 298,3 млн. рублей, или 95,1 % среднемесячного объема производства.</w:t>
      </w:r>
    </w:p>
    <w:p w:rsidR="000D076C" w:rsidRPr="00F80774" w:rsidRDefault="000D076C" w:rsidP="000D076C">
      <w:pPr>
        <w:ind w:firstLine="851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>За январь – март 2023 г. объем валовой продукции с</w:t>
      </w:r>
      <w:r w:rsidRPr="00F80774">
        <w:rPr>
          <w:rFonts w:eastAsia="Calibri" w:cs="Times New Roman"/>
          <w:sz w:val="29"/>
          <w:szCs w:val="29"/>
        </w:rPr>
        <w:t>ельского хозяйства</w:t>
      </w:r>
      <w:r w:rsidRPr="00F80774">
        <w:rPr>
          <w:rFonts w:eastAsia="Times New Roman" w:cs="Times New Roman"/>
          <w:sz w:val="29"/>
          <w:szCs w:val="29"/>
        </w:rPr>
        <w:t xml:space="preserve"> во всех категориях хозяйств в текущих ценах составил </w:t>
      </w:r>
      <w:r w:rsidRPr="00F80774">
        <w:rPr>
          <w:rFonts w:eastAsia="Times New Roman" w:cs="Times New Roman"/>
          <w:sz w:val="29"/>
          <w:szCs w:val="29"/>
          <w:lang w:eastAsia="ru-RU"/>
        </w:rPr>
        <w:t xml:space="preserve">822,2 </w:t>
      </w:r>
      <w:r w:rsidRPr="00F80774">
        <w:rPr>
          <w:rFonts w:eastAsia="Times New Roman" w:cs="Times New Roman"/>
          <w:sz w:val="29"/>
          <w:szCs w:val="29"/>
        </w:rPr>
        <w:t>млн. рублей, или 104,6 % (в сопоставимых ценах) к уровню января – марта 2022 г.</w:t>
      </w:r>
    </w:p>
    <w:p w:rsidR="000D076C" w:rsidRPr="00F80774" w:rsidRDefault="000D076C" w:rsidP="000D076C">
      <w:pPr>
        <w:ind w:firstLine="851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 xml:space="preserve">Сельскохозяйственными организациями, включая крестьянские (фермерские) хозяйства, произведено продукции на сумму 811,1 млн. </w:t>
      </w:r>
      <w:r w:rsidRPr="00F80774">
        <w:rPr>
          <w:rFonts w:eastAsia="Times New Roman" w:cs="Times New Roman"/>
          <w:sz w:val="29"/>
          <w:szCs w:val="29"/>
        </w:rPr>
        <w:lastRenderedPageBreak/>
        <w:t>рублей, или 104,9 %, в том числе животноводства – 105,0 % (удельный вес в валовой продукции – 99,1 %), растениеводства – 88,6 % (удельный вес – 0,9 %).</w:t>
      </w:r>
    </w:p>
    <w:p w:rsidR="000D076C" w:rsidRPr="00F80774" w:rsidRDefault="000D076C" w:rsidP="000D076C">
      <w:pPr>
        <w:spacing w:line="228" w:lineRule="auto"/>
        <w:ind w:firstLine="851"/>
        <w:contextualSpacing/>
        <w:jc w:val="both"/>
        <w:rPr>
          <w:rFonts w:eastAsia="Times New Roman" w:cs="Times New Roman"/>
          <w:sz w:val="29"/>
          <w:szCs w:val="29"/>
          <w:lang w:eastAsia="ru-RU"/>
        </w:rPr>
      </w:pPr>
      <w:r w:rsidRPr="00F80774">
        <w:rPr>
          <w:rFonts w:eastAsia="Times New Roman" w:cs="Times New Roman"/>
          <w:sz w:val="29"/>
          <w:szCs w:val="29"/>
          <w:lang w:val="be-BY" w:eastAsia="ru-RU"/>
        </w:rPr>
        <w:t xml:space="preserve">Численность крупного рогатого скота на 1 апреля 2023 г. составила 692,5 тыс. голов (101,9 % к </w:t>
      </w:r>
      <w:r w:rsidR="00BC1131" w:rsidRPr="00F80774">
        <w:rPr>
          <w:rFonts w:eastAsia="Times New Roman" w:cs="Times New Roman"/>
          <w:sz w:val="29"/>
          <w:szCs w:val="29"/>
          <w:lang w:val="be-BY" w:eastAsia="ru-RU"/>
        </w:rPr>
        <w:t>январю - марту</w:t>
      </w:r>
      <w:r w:rsidRPr="00F80774">
        <w:rPr>
          <w:rFonts w:eastAsia="Times New Roman" w:cs="Times New Roman"/>
          <w:sz w:val="29"/>
          <w:szCs w:val="29"/>
          <w:lang w:val="be-BY" w:eastAsia="ru-RU"/>
        </w:rPr>
        <w:t xml:space="preserve"> 2022 г.), </w:t>
      </w:r>
      <w:r w:rsidRPr="00F80774">
        <w:rPr>
          <w:rFonts w:eastAsia="Times New Roman" w:cs="Times New Roman"/>
          <w:sz w:val="29"/>
          <w:szCs w:val="29"/>
          <w:lang w:eastAsia="ru-RU"/>
        </w:rPr>
        <w:t xml:space="preserve">свиней – 579,4 тыс. голов (102,9 %), </w:t>
      </w:r>
      <w:r w:rsidRPr="00F80774">
        <w:rPr>
          <w:rFonts w:eastAsia="Times New Roman" w:cs="Times New Roman"/>
          <w:sz w:val="29"/>
          <w:szCs w:val="29"/>
          <w:lang w:val="be-BY" w:eastAsia="ru-RU"/>
        </w:rPr>
        <w:t>птицы – 4887,7 тыс. голов</w:t>
      </w:r>
      <w:r w:rsidRPr="00F80774">
        <w:rPr>
          <w:rFonts w:eastAsia="Times New Roman" w:cs="Times New Roman"/>
          <w:sz w:val="29"/>
          <w:szCs w:val="29"/>
          <w:lang w:eastAsia="ru-RU"/>
        </w:rPr>
        <w:t xml:space="preserve"> (94,9 %).</w:t>
      </w:r>
    </w:p>
    <w:p w:rsidR="000D076C" w:rsidRPr="00F80774" w:rsidRDefault="000D076C" w:rsidP="000D076C">
      <w:pPr>
        <w:ind w:firstLine="709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>За январь – март 2023 г. в сельскохозяйственных организациях Гродненской области произведено молока в количестве 366,9 тыс. тонн, что на 6,8 % выше января – марта 2022 г. Удой молока на 1 корову составил 1692 кг, что на 102 кг превышает аналогичный период 2022 года.</w:t>
      </w:r>
    </w:p>
    <w:p w:rsidR="000D076C" w:rsidRPr="00F80774" w:rsidRDefault="000D076C" w:rsidP="000D076C">
      <w:pPr>
        <w:ind w:firstLine="709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 xml:space="preserve">Производство (выращивание) скота и птицы за январь – март       2023 г. составило 70,8 тыс. тонн (102,9 % к аналогичному периоду 2022 года), в том числе выращивание крупного рогатого скота – 31,2 тыс. тонн (105,1%),  свиней – 26,7 тыс. тонн (103,5 %), птицы – 12,8 тыс. тонн (97,0%). </w:t>
      </w:r>
    </w:p>
    <w:p w:rsidR="000D076C" w:rsidRPr="00F80774" w:rsidRDefault="000D076C" w:rsidP="000D076C">
      <w:pPr>
        <w:ind w:firstLine="709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>Среднесуточный привес крупного рогатого скота на выращивании и откорме увеличился на 23 грамма и составил 713 граммов, свиней – на 23 грамма и составил 679 граммов.</w:t>
      </w:r>
    </w:p>
    <w:p w:rsidR="000D076C" w:rsidRPr="00F80774" w:rsidRDefault="000D076C" w:rsidP="000D076C">
      <w:pPr>
        <w:ind w:firstLine="709"/>
        <w:jc w:val="both"/>
        <w:rPr>
          <w:rFonts w:eastAsia="Times New Roman" w:cs="Times New Roman"/>
          <w:sz w:val="29"/>
          <w:szCs w:val="29"/>
        </w:rPr>
      </w:pPr>
      <w:r w:rsidRPr="00F80774">
        <w:rPr>
          <w:rFonts w:eastAsia="Times New Roman" w:cs="Times New Roman"/>
          <w:sz w:val="29"/>
          <w:szCs w:val="29"/>
        </w:rPr>
        <w:t>За три месяца 2023 года производство яиц составило 96,4 млн. штук, или 96,2 % к аналогичному периоду 2022 года, при средней яйценоскости кур-несушек 69 штук (в 2022 году – 73 штуки).</w:t>
      </w:r>
    </w:p>
    <w:p w:rsidR="008E3548" w:rsidRPr="00F80774" w:rsidRDefault="000D076C" w:rsidP="008E3548">
      <w:pPr>
        <w:ind w:firstLine="708"/>
        <w:jc w:val="both"/>
        <w:rPr>
          <w:rFonts w:eastAsia="Times New Roman" w:cs="Times New Roman"/>
          <w:sz w:val="29"/>
          <w:szCs w:val="29"/>
          <w:lang w:eastAsia="ru-RU"/>
        </w:rPr>
      </w:pPr>
      <w:r w:rsidRPr="00F80774">
        <w:rPr>
          <w:rFonts w:eastAsia="Times New Roman" w:cs="Times New Roman"/>
          <w:sz w:val="29"/>
          <w:szCs w:val="29"/>
          <w:lang w:eastAsia="ru-RU"/>
        </w:rPr>
        <w:t>За январь – март 2023 г. темп роста объемов строительно-монтажных работ (включая работы по монтажу оборудования) составил 100,6 % к январю – марту 2022 г. в сопоставимых ценах (439,5 млн. рублей)</w:t>
      </w:r>
      <w:r w:rsidR="008E3548" w:rsidRPr="00F80774">
        <w:rPr>
          <w:rFonts w:eastAsia="Times New Roman" w:cs="Times New Roman"/>
          <w:sz w:val="29"/>
          <w:szCs w:val="29"/>
          <w:lang w:eastAsia="ru-RU"/>
        </w:rPr>
        <w:t>.</w:t>
      </w:r>
    </w:p>
    <w:p w:rsidR="000D076C" w:rsidRPr="00F80774" w:rsidRDefault="000D076C" w:rsidP="008E3548">
      <w:pPr>
        <w:ind w:firstLine="708"/>
        <w:jc w:val="both"/>
        <w:rPr>
          <w:rFonts w:eastAsia="Times New Roman" w:cs="Times New Roman"/>
          <w:i/>
          <w:color w:val="000000"/>
          <w:sz w:val="29"/>
          <w:szCs w:val="29"/>
          <w:lang w:eastAsia="ru-RU"/>
        </w:rPr>
      </w:pPr>
      <w:r w:rsidRPr="00F80774">
        <w:rPr>
          <w:rFonts w:eastAsia="Times New Roman" w:cs="Times New Roman"/>
          <w:sz w:val="29"/>
          <w:szCs w:val="29"/>
          <w:lang w:eastAsia="ru-RU"/>
        </w:rPr>
        <w:t>Объем выполненных подрядных работ составил 285,0 млн. рублей, или 111,8 % к соответствующему периоду 2022 года</w:t>
      </w:r>
      <w:r w:rsidRPr="00F80774">
        <w:rPr>
          <w:rFonts w:eastAsia="Times New Roman" w:cs="Times New Roman"/>
          <w:i/>
          <w:color w:val="000000"/>
          <w:sz w:val="29"/>
          <w:szCs w:val="29"/>
          <w:lang w:eastAsia="ru-RU"/>
        </w:rPr>
        <w:t>.</w:t>
      </w:r>
    </w:p>
    <w:p w:rsidR="000D076C" w:rsidRPr="00F80774" w:rsidRDefault="000D076C" w:rsidP="000D076C">
      <w:pPr>
        <w:suppressAutoHyphens/>
        <w:ind w:firstLine="709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В январе – марте 2023 г. введено в эксплуатацию 116,7 тыс. кв. метров жилья, что составляет 25,1 % годового задания (465 тыс. кв. метров). Для граждан, осуществляющих жилищное строительство с государственной поддержкой, сдано 35,9 тыс. кв. метров общей площади, или 23,2 % задания на год (155 тыс. кв. метров).</w:t>
      </w:r>
    </w:p>
    <w:p w:rsidR="000D076C" w:rsidRPr="00F80774" w:rsidRDefault="000D076C" w:rsidP="000D076C">
      <w:pPr>
        <w:tabs>
          <w:tab w:val="left" w:pos="0"/>
        </w:tabs>
        <w:suppressAutoHyphens/>
        <w:ind w:firstLine="709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Построено жилье для 294 многодетных семей, направлено на улучшение жилищных условий 290 таких семей.</w:t>
      </w:r>
    </w:p>
    <w:p w:rsidR="000D076C" w:rsidRPr="00F80774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Ввод в действие индивидуальных жилых домов населением составил 39,7 тыс. кв. метров, или 34,0 % от общего ввода жилья.</w:t>
      </w:r>
    </w:p>
    <w:p w:rsidR="000D076C" w:rsidRPr="00F80774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В области построена 21 квартира (1,1 тыс. кв. метров) социального пользования (61,1 % к заданию на 2023 год), а также 2,7 тыс. кв. метров арендного жилья (19,0 % к заданию на 2023 год), в том числе за счет средств организаций – 0,12 тыс. кв. метров.</w:t>
      </w:r>
    </w:p>
    <w:p w:rsidR="000D076C" w:rsidRPr="00F80774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Ввод в эксплуатацию жилых домов с использованием электроэнергии для целей отопления, горячего водоснабжения и пищеприготовления составил 21,7 тыс. кв. метров (43,4 % к заданию на 2023 год).</w:t>
      </w:r>
    </w:p>
    <w:p w:rsidR="000D076C" w:rsidRPr="00F80774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За отчетный период построено 75,5 тыс. кв. метров энергоэффективного жилья.</w:t>
      </w:r>
    </w:p>
    <w:p w:rsidR="000D076C" w:rsidRPr="00F80774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 w:val="29"/>
          <w:szCs w:val="29"/>
          <w:lang w:eastAsia="zh-CN"/>
        </w:rPr>
      </w:pPr>
      <w:r w:rsidRPr="00F80774">
        <w:rPr>
          <w:rFonts w:eastAsia="Times New Roman" w:cs="Times New Roman"/>
          <w:sz w:val="29"/>
          <w:szCs w:val="29"/>
          <w:lang w:eastAsia="zh-CN"/>
        </w:rPr>
        <w:t>На жилищное строительство в январе – марте 2023 г. направлено 153,4 млн. рублей инвестиций.</w:t>
      </w:r>
    </w:p>
    <w:p w:rsidR="000D076C" w:rsidRPr="00F80774" w:rsidRDefault="000D076C" w:rsidP="000D076C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z w:val="29"/>
          <w:szCs w:val="29"/>
          <w:shd w:val="clear" w:color="auto" w:fill="FFFFFF"/>
          <w:lang w:eastAsia="ru-RU"/>
        </w:rPr>
      </w:pP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Розничный товарооборот торговли через все каналы реализации составил 1,6 млрд. рублей, или 97,2 % к уровню января – марта    2022 г. </w:t>
      </w:r>
    </w:p>
    <w:p w:rsidR="000D076C" w:rsidRPr="00F80774" w:rsidRDefault="008E3548" w:rsidP="008E3548">
      <w:pPr>
        <w:ind w:firstLine="708"/>
        <w:jc w:val="both"/>
        <w:rPr>
          <w:rFonts w:eastAsia="Times New Roman" w:cs="Times New Roman"/>
          <w:sz w:val="29"/>
          <w:szCs w:val="29"/>
          <w:shd w:val="clear" w:color="auto" w:fill="FFFFFF"/>
          <w:lang w:eastAsia="ru-RU"/>
        </w:rPr>
      </w:pP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К</w:t>
      </w:r>
      <w:r w:rsidR="000D076C"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оличество торговых объектов увеличилось на 118 и составило 12824 объектов, в том числе магазинов - на 54 единицы и 6416 объектов, торговая площадь увеличилась на 6,7 тыс. кв. м. и составила 712,2 тыс. кв.м.</w:t>
      </w: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 </w:t>
      </w:r>
      <w:r w:rsidR="000D076C"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В приоритете отмечается увеличение количества торговых объектов с торговой площадью до 100 кв.м (уд. вес – 74,1%).</w:t>
      </w:r>
    </w:p>
    <w:p w:rsidR="000D076C" w:rsidRPr="00F80774" w:rsidRDefault="000D076C" w:rsidP="000D076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 w:val="29"/>
          <w:szCs w:val="29"/>
          <w:shd w:val="clear" w:color="auto" w:fill="FFFFFF"/>
          <w:lang w:val="x-none"/>
        </w:rPr>
      </w:pP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Индекс потребительских цен по области за 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март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202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3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г. по отношению к декабрю 202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2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г. составил 1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02,9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%, в том числе: продовольственные товары – 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103,1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%, непродовольственные товары – 1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01,6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%, услуги – 1</w:t>
      </w:r>
      <w:r w:rsidRPr="00F80774">
        <w:rPr>
          <w:rFonts w:eastAsia="Calibri" w:cs="Times New Roman"/>
          <w:sz w:val="29"/>
          <w:szCs w:val="29"/>
          <w:shd w:val="clear" w:color="auto" w:fill="FFFFFF"/>
        </w:rPr>
        <w:t>04,3</w:t>
      </w:r>
      <w:r w:rsidRPr="00F80774">
        <w:rPr>
          <w:rFonts w:eastAsia="Calibri" w:cs="Times New Roman"/>
          <w:sz w:val="29"/>
          <w:szCs w:val="29"/>
          <w:shd w:val="clear" w:color="auto" w:fill="FFFFFF"/>
          <w:lang w:val="x-none"/>
        </w:rPr>
        <w:t xml:space="preserve"> %. </w:t>
      </w:r>
    </w:p>
    <w:p w:rsidR="000D076C" w:rsidRPr="00F80774" w:rsidRDefault="000D076C" w:rsidP="000D076C">
      <w:pPr>
        <w:ind w:right="-28" w:firstLine="709"/>
        <w:jc w:val="both"/>
        <w:rPr>
          <w:rFonts w:eastAsia="Times New Roman" w:cs="Times New Roman"/>
          <w:color w:val="FF0000"/>
          <w:sz w:val="29"/>
          <w:szCs w:val="29"/>
          <w:shd w:val="clear" w:color="auto" w:fill="FFFFFF"/>
          <w:lang w:eastAsia="ru-RU"/>
        </w:rPr>
      </w:pP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По продовольственным товарам на прирост индекса потребительских цен наиболее повлияли молоко и молочные продукты (индекс – 102,4%), а также </w:t>
      </w:r>
      <w:r w:rsidRPr="00F80774">
        <w:rPr>
          <w:rFonts w:eastAsia="Times New Roman" w:cs="Times New Roman"/>
          <w:sz w:val="29"/>
          <w:szCs w:val="29"/>
          <w:lang w:eastAsia="ru-RU"/>
        </w:rPr>
        <w:t>сезонное удорожание овощей и фруктов (в первую очередь – импортных): помидоры (117,8%), перец сладкий (126,3%), лук репчатый (108,9%). На табачные изделия и водку цены увеличились (101,3% и 102,1% соответственно) вследствие повышения ставок акциза. Также отмечен рост цен на майонез (104,1%), масло сливочное (102,1%), яйца куриные (101,9%).</w:t>
      </w:r>
    </w:p>
    <w:p w:rsidR="000D076C" w:rsidRPr="00F80774" w:rsidRDefault="000D076C" w:rsidP="000D076C">
      <w:pPr>
        <w:ind w:right="-28" w:firstLine="709"/>
        <w:jc w:val="both"/>
        <w:rPr>
          <w:rFonts w:eastAsia="Times New Roman" w:cs="Times New Roman"/>
          <w:sz w:val="29"/>
          <w:szCs w:val="29"/>
          <w:shd w:val="clear" w:color="auto" w:fill="FFFFFF"/>
          <w:lang w:eastAsia="ru-RU"/>
        </w:rPr>
      </w:pP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По непродовольственной группе товаров </w:t>
      </w:r>
      <w:r w:rsidRPr="00F80774">
        <w:rPr>
          <w:rFonts w:eastAsia="Times New Roman" w:cs="Times New Roman"/>
          <w:sz w:val="29"/>
          <w:szCs w:val="29"/>
          <w:lang w:eastAsia="ru-RU"/>
        </w:rPr>
        <w:t xml:space="preserve">наиболее значимое влияние </w:t>
      </w: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на сложившийся уровень инфляции оказало удорожание легковых автомобилей (индекс – 102,2%), обуви (102,3%), медикаментов (100,7%), ковров и ковровых изделий (111,1%).</w:t>
      </w:r>
    </w:p>
    <w:p w:rsidR="007A7BCD" w:rsidRPr="00F80774" w:rsidRDefault="007A7BCD" w:rsidP="007A7BCD">
      <w:pPr>
        <w:ind w:right="-28" w:firstLine="709"/>
        <w:jc w:val="both"/>
        <w:rPr>
          <w:rFonts w:eastAsia="Times New Roman" w:cs="Times New Roman"/>
          <w:sz w:val="29"/>
          <w:szCs w:val="29"/>
          <w:shd w:val="clear" w:color="auto" w:fill="FFFFFF"/>
          <w:lang w:eastAsia="ru-RU"/>
        </w:rPr>
      </w:pPr>
      <w:r w:rsidRPr="00F80774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В сегменте услуг влияние на ИПЦ оказали позиции: туристические услуги (индекс – 112,5%), услуги пассажирского железнодорожного транспорта международного сообщения (110,5%), услуги пассажирского воздушного транспорта (104,7%), услуги физической культуры и спорта (102,8%). 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За январь – март 2023 г. объем инвестиций в основной капитал по Гродненской области составил 813,8 млн. рублей, или в сопоставимых ценах 98,7 % к уровню января – марта 2022 г. (задание – 103,1 %).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Основная причина – снижение инвестиций в основной капитал по крупным проектам, находящимся в стадии завершения:  «Строительство деревообрабатывающего завода «Свислочь» ООО «ЭйчЭс Белакон» (темп 4,9 % к уровню 1 квартала 2022 г.), «Строительство завода по производству стеклянной тары с использованием инновационных энергоэффективных и ресурсосберегающих технологий» ОАО «Гродненский стеклозавод» (49,5 %),  «Строительство атомной станции в Республике Беларусь» РУП «Белорусская атомная электростанция» (74,9%).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В январе - феврале 2023 г. объем внешней торговли товарами по Гродненской области составил 727,2 млн. долларов США (91,2 % к соответствующему периоду 2022 г.), в том числе экспорт товаров – 475,7 млн. долларов США (87,6 %), импорт товаров – 251,5 млн. долларов США (99,0 %). Сальдо внешней торговли товарами сложилось положительное в размере 224,2 млн. долларов США. 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В январе – феврале 2023 г. экспорт услуг по Гродненской области составил 45,6 млн. долларов США, или 97,0 % к уровню января – февраля 2022 г., импорт услуг – 70,3 млн. долларов США, или 108,6 %. Сальдо внешней торговли услугами сложилось отрицательным в размере «минус» 24,7 млн. долларов США.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Выручка от реализации продукции, товаров, работ, услуг за январь-февраль 2023 г. в целом по области составила 5002,7 млн. рублей, или 106,3 % к январю-февралю 2022 г., чистая прибыль – 452,8 млн. рублей, или 95,1 % к январю-февралю 2022 г.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 xml:space="preserve">Рентабельность продаж снизилась по сравнению с январем-февралем 2022 г. на 2,2 п.п. и составила 11,0 %, в том числе в организациях: промышленности - на 3,3 п.п. и 14,0 %, транспорта – на 0,6 п.п. и 0,8 %, торговли – на 0,5 п.п. и 0,2 %. Увеличилась рентабельность продаж в организациях сельского, лесного и рыбного хозяйства – на 2,6 п.п. и составила 15,3 %, строительства – на 3,9 п.п. и 2,4 % соответственно. </w:t>
      </w:r>
    </w:p>
    <w:p w:rsidR="000D076C" w:rsidRPr="00F80774" w:rsidRDefault="000D076C" w:rsidP="000D076C">
      <w:pPr>
        <w:ind w:firstLine="709"/>
        <w:jc w:val="both"/>
        <w:rPr>
          <w:rFonts w:eastAsia="Calibri" w:cs="Times New Roman"/>
          <w:sz w:val="29"/>
          <w:szCs w:val="29"/>
        </w:rPr>
      </w:pPr>
      <w:r w:rsidRPr="00F80774">
        <w:rPr>
          <w:rFonts w:eastAsia="Calibri" w:cs="Times New Roman"/>
          <w:sz w:val="29"/>
          <w:szCs w:val="29"/>
        </w:rPr>
        <w:t>Количество убыточных организаций составило 128 и снизилось к январю-февралю 2022 г. на 6 организаций, удельный вес убыточных организаций – 20,0 % от их общего количества, сумма убытка – 121,7 млн. рублей.</w:t>
      </w:r>
    </w:p>
    <w:p w:rsidR="000D076C" w:rsidRPr="00F80774" w:rsidRDefault="000D076C" w:rsidP="000D076C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 w:val="29"/>
          <w:szCs w:val="29"/>
          <w:lang w:eastAsia="ru-RU"/>
        </w:rPr>
      </w:pPr>
      <w:r w:rsidRPr="00F80774">
        <w:rPr>
          <w:rFonts w:eastAsia="Times New Roman" w:cs="Times New Roman"/>
          <w:bCs/>
          <w:sz w:val="29"/>
          <w:szCs w:val="29"/>
          <w:lang w:eastAsia="ru-RU"/>
        </w:rPr>
        <w:t>Рост совокупных поступлений доходов в консолидированный бюджет области за январь – март  2023 г. составил 122,8 % при задании  104,8%.</w:t>
      </w:r>
    </w:p>
    <w:p w:rsidR="008E3548" w:rsidRPr="00F80774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 w:val="29"/>
          <w:szCs w:val="29"/>
          <w:lang w:eastAsia="ru-RU"/>
        </w:rPr>
      </w:pPr>
      <w:r w:rsidRPr="00F80774">
        <w:rPr>
          <w:rFonts w:eastAsia="Times New Roman" w:cs="Times New Roman"/>
          <w:bCs/>
          <w:sz w:val="29"/>
          <w:szCs w:val="29"/>
          <w:lang w:eastAsia="ru-RU"/>
        </w:rPr>
        <w:t>Уровень безработицы на 1 апреля 2023 г. составил 0,2</w:t>
      </w:r>
      <w:r w:rsidR="002A28E2" w:rsidRPr="00F80774">
        <w:rPr>
          <w:rFonts w:eastAsia="Times New Roman" w:cs="Times New Roman"/>
          <w:bCs/>
          <w:sz w:val="29"/>
          <w:szCs w:val="29"/>
          <w:lang w:eastAsia="ru-RU"/>
        </w:rPr>
        <w:t>%</w:t>
      </w:r>
      <w:r w:rsidRPr="00F80774">
        <w:rPr>
          <w:rFonts w:eastAsia="Times New Roman" w:cs="Times New Roman"/>
          <w:bCs/>
          <w:sz w:val="29"/>
          <w:szCs w:val="29"/>
          <w:lang w:eastAsia="ru-RU"/>
        </w:rPr>
        <w:t xml:space="preserve"> к численности экономически активного населения. </w:t>
      </w:r>
    </w:p>
    <w:p w:rsidR="008E3548" w:rsidRPr="00F80774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 w:val="29"/>
          <w:szCs w:val="29"/>
          <w:lang w:eastAsia="ru-RU"/>
        </w:rPr>
      </w:pPr>
      <w:r w:rsidRPr="00F80774">
        <w:rPr>
          <w:rFonts w:eastAsia="Times New Roman" w:cs="Times New Roman"/>
          <w:bCs/>
          <w:sz w:val="29"/>
          <w:szCs w:val="29"/>
          <w:lang w:eastAsia="ru-RU"/>
        </w:rPr>
        <w:t xml:space="preserve">Номинальная среднемесячная заработная плата в области увеличилась к январю – марту 2022 г. на 17,3 </w:t>
      </w:r>
      <w:r w:rsidR="002A28E2" w:rsidRPr="00F80774">
        <w:rPr>
          <w:rFonts w:eastAsia="Times New Roman" w:cs="Times New Roman"/>
          <w:bCs/>
          <w:sz w:val="29"/>
          <w:szCs w:val="29"/>
          <w:lang w:eastAsia="ru-RU"/>
        </w:rPr>
        <w:t>%</w:t>
      </w:r>
      <w:r w:rsidRPr="00F80774">
        <w:rPr>
          <w:rFonts w:eastAsia="Times New Roman" w:cs="Times New Roman"/>
          <w:bCs/>
          <w:sz w:val="29"/>
          <w:szCs w:val="29"/>
          <w:lang w:eastAsia="ru-RU"/>
        </w:rPr>
        <w:t xml:space="preserve"> (задание на январь – март 2023 г. – на 11,6 </w:t>
      </w:r>
      <w:r w:rsidR="002A28E2" w:rsidRPr="00F80774">
        <w:rPr>
          <w:rFonts w:eastAsia="Times New Roman" w:cs="Times New Roman"/>
          <w:bCs/>
          <w:sz w:val="29"/>
          <w:szCs w:val="29"/>
          <w:lang w:eastAsia="ru-RU"/>
        </w:rPr>
        <w:t>%</w:t>
      </w:r>
      <w:r w:rsidRPr="00F80774">
        <w:rPr>
          <w:rFonts w:eastAsia="Times New Roman" w:cs="Times New Roman"/>
          <w:bCs/>
          <w:sz w:val="29"/>
          <w:szCs w:val="29"/>
          <w:lang w:eastAsia="ru-RU"/>
        </w:rPr>
        <w:t xml:space="preserve">) и составила 1533,5 рубля. Изменение реальной заработной платы – 106,8 </w:t>
      </w:r>
      <w:r w:rsidR="002A28E2" w:rsidRPr="00F80774">
        <w:rPr>
          <w:rFonts w:eastAsia="Times New Roman" w:cs="Times New Roman"/>
          <w:bCs/>
          <w:sz w:val="29"/>
          <w:szCs w:val="29"/>
          <w:lang w:eastAsia="ru-RU"/>
        </w:rPr>
        <w:t>%</w:t>
      </w:r>
      <w:r w:rsidRPr="00F80774">
        <w:rPr>
          <w:rFonts w:eastAsia="Times New Roman" w:cs="Times New Roman"/>
          <w:bCs/>
          <w:sz w:val="29"/>
          <w:szCs w:val="29"/>
          <w:lang w:eastAsia="ru-RU"/>
        </w:rPr>
        <w:t>.</w:t>
      </w: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sectPr w:rsidR="008E3548" w:rsidSect="00BC11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1C" w:rsidRDefault="00BD4F1C" w:rsidP="00BC1131">
      <w:r>
        <w:separator/>
      </w:r>
    </w:p>
  </w:endnote>
  <w:endnote w:type="continuationSeparator" w:id="0">
    <w:p w:rsidR="00BD4F1C" w:rsidRDefault="00BD4F1C" w:rsidP="00B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1C" w:rsidRDefault="00BD4F1C" w:rsidP="00BC1131">
      <w:r>
        <w:separator/>
      </w:r>
    </w:p>
  </w:footnote>
  <w:footnote w:type="continuationSeparator" w:id="0">
    <w:p w:rsidR="00BD4F1C" w:rsidRDefault="00BD4F1C" w:rsidP="00BC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663349"/>
      <w:docPartObj>
        <w:docPartGallery w:val="Page Numbers (Top of Page)"/>
        <w:docPartUnique/>
      </w:docPartObj>
    </w:sdtPr>
    <w:sdtEndPr/>
    <w:sdtContent>
      <w:p w:rsidR="00BC1131" w:rsidRDefault="00BC1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74">
          <w:rPr>
            <w:noProof/>
          </w:rPr>
          <w:t>4</w:t>
        </w:r>
        <w:r>
          <w:fldChar w:fldCharType="end"/>
        </w:r>
      </w:p>
    </w:sdtContent>
  </w:sdt>
  <w:p w:rsidR="00BC1131" w:rsidRDefault="00BC1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6C"/>
    <w:rsid w:val="00004E47"/>
    <w:rsid w:val="000D076C"/>
    <w:rsid w:val="002A28E2"/>
    <w:rsid w:val="00326317"/>
    <w:rsid w:val="004D1380"/>
    <w:rsid w:val="005B3A9D"/>
    <w:rsid w:val="00752507"/>
    <w:rsid w:val="007A7BCD"/>
    <w:rsid w:val="008E3548"/>
    <w:rsid w:val="00A01570"/>
    <w:rsid w:val="00B603AB"/>
    <w:rsid w:val="00BC1131"/>
    <w:rsid w:val="00BD4F1C"/>
    <w:rsid w:val="00E222BE"/>
    <w:rsid w:val="00E8682A"/>
    <w:rsid w:val="00ED0531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3E85"/>
  <w15:docId w15:val="{0E2C9767-9A8A-4011-A35C-6BC7A4F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Boyarchuk E.G.</dc:creator>
  <cp:lastModifiedBy>Дмитрий Валентинович Невертович</cp:lastModifiedBy>
  <cp:revision>4</cp:revision>
  <dcterms:created xsi:type="dcterms:W3CDTF">2023-05-12T09:44:00Z</dcterms:created>
  <dcterms:modified xsi:type="dcterms:W3CDTF">2023-05-15T10:45:00Z</dcterms:modified>
</cp:coreProperties>
</file>