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95D2" w14:textId="77777777" w:rsidR="00A479CF" w:rsidRPr="007976C0" w:rsidRDefault="00A479CF" w:rsidP="00A479CF">
      <w:pPr>
        <w:spacing w:after="0" w:line="240" w:lineRule="auto"/>
        <w:jc w:val="both"/>
        <w:rPr>
          <w:bCs/>
          <w:sz w:val="24"/>
          <w:szCs w:val="24"/>
        </w:rPr>
      </w:pPr>
      <w:r w:rsidRPr="007976C0">
        <w:rPr>
          <w:bCs/>
          <w:sz w:val="24"/>
          <w:szCs w:val="24"/>
        </w:rPr>
        <w:t>МАТЕРИАЛ</w:t>
      </w:r>
    </w:p>
    <w:p w14:paraId="47E25768" w14:textId="77777777" w:rsidR="00A479CF" w:rsidRPr="007976C0" w:rsidRDefault="00A479CF" w:rsidP="00A479CF">
      <w:pPr>
        <w:spacing w:after="0" w:line="240" w:lineRule="auto"/>
        <w:jc w:val="both"/>
        <w:rPr>
          <w:bCs/>
          <w:sz w:val="24"/>
          <w:szCs w:val="24"/>
        </w:rPr>
      </w:pPr>
      <w:r w:rsidRPr="007976C0">
        <w:rPr>
          <w:bCs/>
          <w:sz w:val="24"/>
          <w:szCs w:val="24"/>
        </w:rPr>
        <w:t>для членов информационно-пропагандистских групп</w:t>
      </w:r>
    </w:p>
    <w:p w14:paraId="513FFA83" w14:textId="17A3F3DB" w:rsidR="00A479CF" w:rsidRPr="007976C0" w:rsidRDefault="00A479CF" w:rsidP="00A479CF">
      <w:pPr>
        <w:spacing w:after="0" w:line="240" w:lineRule="auto"/>
        <w:jc w:val="both"/>
        <w:rPr>
          <w:bCs/>
          <w:sz w:val="24"/>
          <w:szCs w:val="24"/>
        </w:rPr>
      </w:pPr>
      <w:r w:rsidRPr="007976C0">
        <w:rPr>
          <w:bCs/>
          <w:sz w:val="24"/>
          <w:szCs w:val="24"/>
        </w:rPr>
        <w:t>(</w:t>
      </w:r>
      <w:r w:rsidR="00405332" w:rsidRPr="007976C0">
        <w:rPr>
          <w:bCs/>
          <w:sz w:val="24"/>
          <w:szCs w:val="24"/>
        </w:rPr>
        <w:t>январь</w:t>
      </w:r>
      <w:r w:rsidRPr="007976C0">
        <w:rPr>
          <w:bCs/>
          <w:sz w:val="24"/>
          <w:szCs w:val="24"/>
        </w:rPr>
        <w:t xml:space="preserve"> 202</w:t>
      </w:r>
      <w:r w:rsidR="00FB64DB" w:rsidRPr="007976C0">
        <w:rPr>
          <w:bCs/>
          <w:sz w:val="24"/>
          <w:szCs w:val="24"/>
        </w:rPr>
        <w:t>4</w:t>
      </w:r>
      <w:r w:rsidRPr="007976C0">
        <w:rPr>
          <w:bCs/>
          <w:sz w:val="24"/>
          <w:szCs w:val="24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Pr="00EF3C5B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</w:rPr>
      </w:pPr>
      <w:r w:rsidRPr="00EF3C5B">
        <w:rPr>
          <w:rFonts w:cs="Times New Roman"/>
          <w:i/>
          <w:sz w:val="24"/>
          <w:szCs w:val="24"/>
        </w:rPr>
        <w:t>По м</w:t>
      </w:r>
      <w:r w:rsidR="00124D2A" w:rsidRPr="00EF3C5B">
        <w:rPr>
          <w:rFonts w:cs="Times New Roman"/>
          <w:i/>
          <w:sz w:val="24"/>
          <w:szCs w:val="24"/>
        </w:rPr>
        <w:t>атериал</w:t>
      </w:r>
      <w:r w:rsidRPr="00EF3C5B">
        <w:rPr>
          <w:rFonts w:cs="Times New Roman"/>
          <w:i/>
          <w:sz w:val="24"/>
          <w:szCs w:val="24"/>
        </w:rPr>
        <w:t>ам,</w:t>
      </w:r>
      <w:r w:rsidR="00124D2A" w:rsidRPr="00EF3C5B">
        <w:rPr>
          <w:rFonts w:cs="Times New Roman"/>
          <w:i/>
          <w:sz w:val="24"/>
          <w:szCs w:val="24"/>
        </w:rPr>
        <w:t xml:space="preserve"> подготовлен</w:t>
      </w:r>
      <w:r w:rsidRPr="00EF3C5B">
        <w:rPr>
          <w:rFonts w:cs="Times New Roman"/>
          <w:i/>
          <w:sz w:val="24"/>
          <w:szCs w:val="24"/>
        </w:rPr>
        <w:t>ным</w:t>
      </w:r>
      <w:r w:rsidR="001B473E" w:rsidRPr="00EF3C5B">
        <w:rPr>
          <w:rFonts w:cs="Times New Roman"/>
          <w:i/>
          <w:sz w:val="24"/>
          <w:szCs w:val="24"/>
        </w:rPr>
        <w:t xml:space="preserve"> </w:t>
      </w:r>
    </w:p>
    <w:p w14:paraId="7DE2E090" w14:textId="77777777" w:rsidR="00124D2A" w:rsidRPr="00EF3C5B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</w:rPr>
      </w:pPr>
      <w:r w:rsidRPr="00EF3C5B">
        <w:rPr>
          <w:rFonts w:cs="Times New Roman"/>
          <w:i/>
          <w:sz w:val="24"/>
          <w:szCs w:val="24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0FD52A16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7FBC51B9" w14:textId="77777777" w:rsidR="007976C0" w:rsidRDefault="007976C0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7976C0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7976C0">
        <w:rPr>
          <w:rFonts w:cs="Times New Roman"/>
          <w:b/>
          <w:bCs/>
          <w:i/>
          <w:sz w:val="24"/>
          <w:szCs w:val="24"/>
        </w:rPr>
        <w:t>Справочно:</w:t>
      </w:r>
    </w:p>
    <w:p w14:paraId="32BDD521" w14:textId="77777777" w:rsidR="00AF4B83" w:rsidRPr="007976C0" w:rsidRDefault="00AA77FC" w:rsidP="007976C0">
      <w:pPr>
        <w:spacing w:after="120" w:line="28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7976C0">
        <w:rPr>
          <w:rFonts w:cs="Times New Roman"/>
          <w:bCs/>
          <w:i/>
          <w:sz w:val="24"/>
          <w:szCs w:val="24"/>
        </w:rPr>
        <w:t>Е</w:t>
      </w:r>
      <w:r w:rsidR="00AF4B83" w:rsidRPr="007976C0">
        <w:rPr>
          <w:rFonts w:cs="Times New Roman"/>
          <w:bCs/>
          <w:i/>
          <w:sz w:val="24"/>
          <w:szCs w:val="24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lastRenderedPageBreak/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7976C0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7976C0">
        <w:rPr>
          <w:rFonts w:eastAsia="Calibri" w:cs="Times New Roman"/>
          <w:b/>
          <w:i/>
          <w:sz w:val="24"/>
          <w:szCs w:val="24"/>
        </w:rPr>
        <w:t>Справочно:</w:t>
      </w:r>
    </w:p>
    <w:p w14:paraId="29566E3B" w14:textId="77777777" w:rsidR="004205AF" w:rsidRPr="007976C0" w:rsidRDefault="007553C4" w:rsidP="007976C0">
      <w:pPr>
        <w:spacing w:after="120" w:line="300" w:lineRule="exact"/>
        <w:ind w:firstLine="709"/>
        <w:jc w:val="both"/>
        <w:rPr>
          <w:rFonts w:eastAsia="Calibri" w:cs="Times New Roman"/>
          <w:i/>
          <w:spacing w:val="-4"/>
          <w:sz w:val="24"/>
          <w:szCs w:val="24"/>
        </w:rPr>
      </w:pPr>
      <w:r w:rsidRPr="007976C0">
        <w:rPr>
          <w:rFonts w:eastAsia="Calibri" w:cs="Times New Roman"/>
          <w:i/>
          <w:spacing w:val="-4"/>
          <w:sz w:val="24"/>
          <w:szCs w:val="24"/>
        </w:rPr>
        <w:t>Р</w:t>
      </w:r>
      <w:r w:rsidR="004205AF" w:rsidRPr="007976C0">
        <w:rPr>
          <w:rFonts w:eastAsia="Calibri" w:cs="Times New Roman"/>
          <w:i/>
          <w:spacing w:val="-4"/>
          <w:sz w:val="24"/>
          <w:szCs w:val="24"/>
        </w:rPr>
        <w:t xml:space="preserve">азмеры фондов увеличены </w:t>
      </w:r>
      <w:r w:rsidR="004205AF" w:rsidRPr="007976C0">
        <w:rPr>
          <w:rFonts w:eastAsia="Calibri" w:cs="Times New Roman"/>
          <w:i/>
          <w:iCs/>
          <w:spacing w:val="-4"/>
          <w:sz w:val="24"/>
          <w:szCs w:val="24"/>
        </w:rPr>
        <w:t>(например, для кандидатов в депутаты Палаты представителей с 1000 до 2000 базовых величин)</w:t>
      </w:r>
      <w:r w:rsidR="004205AF" w:rsidRPr="007976C0">
        <w:rPr>
          <w:rFonts w:eastAsia="Calibri" w:cs="Times New Roman"/>
          <w:i/>
          <w:spacing w:val="-4"/>
          <w:sz w:val="24"/>
          <w:szCs w:val="24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1414B32E" w14:textId="77777777" w:rsidR="00555D82" w:rsidRPr="007976C0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7976C0">
        <w:rPr>
          <w:rFonts w:eastAsia="Times New Roman" w:cs="Times New Roman"/>
          <w:b/>
          <w:bCs/>
          <w:i/>
          <w:sz w:val="24"/>
          <w:szCs w:val="24"/>
          <w:lang w:eastAsia="ru-RU"/>
        </w:rPr>
        <w:t>Справочно:</w:t>
      </w:r>
    </w:p>
    <w:p w14:paraId="792A99CA" w14:textId="722B672E" w:rsidR="00555D82" w:rsidRDefault="00555D82" w:rsidP="007976C0">
      <w:pPr>
        <w:pStyle w:val="a7"/>
        <w:spacing w:after="120" w:line="300" w:lineRule="exact"/>
        <w:ind w:left="0" w:firstLine="567"/>
        <w:jc w:val="both"/>
        <w:rPr>
          <w:rFonts w:eastAsia="Calibri" w:cs="Times New Roman"/>
          <w:i/>
          <w:sz w:val="24"/>
          <w:szCs w:val="24"/>
        </w:rPr>
      </w:pPr>
      <w:r w:rsidRPr="007976C0">
        <w:rPr>
          <w:rFonts w:eastAsia="Calibri" w:cs="Times New Roman"/>
          <w:i/>
          <w:sz w:val="24"/>
          <w:szCs w:val="24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7976C0">
        <w:rPr>
          <w:rFonts w:eastAsia="Calibri" w:cs="Times New Roman"/>
          <w:b/>
          <w:i/>
          <w:sz w:val="24"/>
          <w:szCs w:val="24"/>
        </w:rPr>
        <w:t>не позднее дня</w:t>
      </w:r>
      <w:r w:rsidRPr="007976C0">
        <w:rPr>
          <w:rFonts w:eastAsia="Calibri" w:cs="Times New Roman"/>
          <w:i/>
          <w:sz w:val="24"/>
          <w:szCs w:val="24"/>
        </w:rPr>
        <w:t xml:space="preserve">, </w:t>
      </w:r>
      <w:r w:rsidRPr="007976C0">
        <w:rPr>
          <w:rFonts w:eastAsia="Calibri" w:cs="Times New Roman"/>
          <w:b/>
          <w:i/>
          <w:sz w:val="24"/>
          <w:szCs w:val="24"/>
        </w:rPr>
        <w:t>предшествующего дню начала досрочного голосования</w:t>
      </w:r>
      <w:r w:rsidRPr="007976C0">
        <w:rPr>
          <w:rFonts w:eastAsia="Calibri" w:cs="Times New Roman"/>
          <w:i/>
          <w:sz w:val="24"/>
          <w:szCs w:val="24"/>
        </w:rPr>
        <w:t>, а при проведении отзыва депутата – не позднее дня, предшествующего дню голосования об отзыве депутата.</w:t>
      </w:r>
    </w:p>
    <w:p w14:paraId="06225383" w14:textId="77777777" w:rsidR="007976C0" w:rsidRPr="007976C0" w:rsidRDefault="007976C0" w:rsidP="007976C0">
      <w:pPr>
        <w:pStyle w:val="a7"/>
        <w:spacing w:after="120" w:line="300" w:lineRule="exact"/>
        <w:ind w:left="0" w:firstLine="567"/>
        <w:jc w:val="both"/>
        <w:rPr>
          <w:rFonts w:eastAsia="Calibri" w:cs="Times New Roman"/>
          <w:i/>
          <w:sz w:val="24"/>
          <w:szCs w:val="24"/>
        </w:rPr>
      </w:pP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679A7780" w14:textId="77777777" w:rsidR="007976C0" w:rsidRDefault="007976C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14:paraId="07966237" w14:textId="77777777" w:rsidR="007976C0" w:rsidRDefault="007976C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14:paraId="077F08C2" w14:textId="31C25728" w:rsidR="004C4390" w:rsidRPr="007976C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7976C0">
        <w:rPr>
          <w:rFonts w:eastAsia="Times New Roman" w:cs="Times New Roman"/>
          <w:b/>
          <w:bCs/>
          <w:i/>
          <w:sz w:val="24"/>
          <w:szCs w:val="24"/>
          <w:lang w:eastAsia="ru-RU"/>
        </w:rPr>
        <w:lastRenderedPageBreak/>
        <w:t>Справочно:</w:t>
      </w:r>
    </w:p>
    <w:p w14:paraId="2F7FB5F9" w14:textId="77777777" w:rsidR="004C4390" w:rsidRPr="007976C0" w:rsidRDefault="004C4390" w:rsidP="007976C0">
      <w:pPr>
        <w:spacing w:after="0" w:line="300" w:lineRule="exact"/>
        <w:ind w:firstLine="567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7976C0">
        <w:rPr>
          <w:rFonts w:eastAsia="Times New Roman" w:cs="Times New Roman"/>
          <w:bCs/>
          <w:i/>
          <w:sz w:val="24"/>
          <w:szCs w:val="24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7976C0" w:rsidRDefault="004C4390" w:rsidP="007976C0">
      <w:pPr>
        <w:spacing w:after="120" w:line="300" w:lineRule="exact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976C0">
        <w:rPr>
          <w:rFonts w:eastAsia="Calibri" w:cs="Times New Roman"/>
          <w:i/>
          <w:sz w:val="24"/>
          <w:szCs w:val="24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7976C0">
        <w:rPr>
          <w:rFonts w:eastAsia="Calibri" w:cs="Times New Roman"/>
          <w:b/>
          <w:bCs/>
          <w:i/>
          <w:spacing w:val="-4"/>
          <w:sz w:val="24"/>
          <w:szCs w:val="24"/>
        </w:rPr>
        <w:t>пяти переносных ящиков вместо трех</w:t>
      </w:r>
      <w:r w:rsidRPr="007976C0">
        <w:rPr>
          <w:rFonts w:eastAsia="Calibri" w:cs="Times New Roman"/>
          <w:i/>
          <w:sz w:val="24"/>
          <w:szCs w:val="24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lastRenderedPageBreak/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7976C0">
      <w:pPr>
        <w:spacing w:after="0" w:line="240" w:lineRule="auto"/>
        <w:ind w:firstLine="709"/>
        <w:jc w:val="center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3590CE71" w14:textId="77777777" w:rsidR="00A0337C" w:rsidRPr="007976C0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7976C0">
        <w:rPr>
          <w:rFonts w:cs="Times New Roman"/>
          <w:b/>
          <w:bCs/>
          <w:i/>
          <w:sz w:val="24"/>
          <w:szCs w:val="24"/>
        </w:rPr>
        <w:t>Справочно:</w:t>
      </w:r>
    </w:p>
    <w:p w14:paraId="0F4C8771" w14:textId="77777777" w:rsidR="005422BC" w:rsidRPr="007976C0" w:rsidRDefault="00C82935" w:rsidP="007976C0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7976C0">
        <w:rPr>
          <w:rFonts w:cs="Times New Roman"/>
          <w:bCs/>
          <w:i/>
          <w:sz w:val="24"/>
          <w:szCs w:val="24"/>
        </w:rPr>
        <w:t>С</w:t>
      </w:r>
      <w:r w:rsidR="002E5BF9" w:rsidRPr="007976C0">
        <w:rPr>
          <w:rFonts w:cs="Times New Roman"/>
          <w:bCs/>
          <w:i/>
          <w:sz w:val="24"/>
          <w:szCs w:val="24"/>
        </w:rPr>
        <w:t xml:space="preserve">егодня </w:t>
      </w:r>
      <w:r w:rsidR="0074795D" w:rsidRPr="007976C0">
        <w:rPr>
          <w:rFonts w:cs="Times New Roman"/>
          <w:bCs/>
          <w:i/>
          <w:sz w:val="24"/>
          <w:szCs w:val="24"/>
        </w:rPr>
        <w:t xml:space="preserve">в </w:t>
      </w:r>
      <w:r w:rsidR="0074795D" w:rsidRPr="007976C0">
        <w:rPr>
          <w:rFonts w:cs="Times New Roman"/>
          <w:b/>
          <w:bCs/>
          <w:i/>
          <w:sz w:val="24"/>
          <w:szCs w:val="24"/>
        </w:rPr>
        <w:t>США</w:t>
      </w:r>
      <w:r w:rsidR="0074795D" w:rsidRPr="007976C0">
        <w:rPr>
          <w:rFonts w:cs="Times New Roman"/>
          <w:bCs/>
          <w:i/>
          <w:sz w:val="24"/>
          <w:szCs w:val="24"/>
        </w:rPr>
        <w:t xml:space="preserve"> </w:t>
      </w:r>
      <w:r w:rsidR="002E5BF9" w:rsidRPr="007976C0">
        <w:rPr>
          <w:rFonts w:cs="Times New Roman"/>
          <w:bCs/>
          <w:i/>
          <w:sz w:val="24"/>
          <w:szCs w:val="24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7976C0">
        <w:rPr>
          <w:rFonts w:cs="Times New Roman"/>
          <w:bCs/>
          <w:i/>
          <w:sz w:val="24"/>
          <w:szCs w:val="24"/>
        </w:rPr>
        <w:t>П</w:t>
      </w:r>
      <w:r w:rsidR="002E5BF9" w:rsidRPr="007976C0">
        <w:rPr>
          <w:rFonts w:cs="Times New Roman"/>
          <w:bCs/>
          <w:i/>
          <w:sz w:val="24"/>
          <w:szCs w:val="24"/>
        </w:rPr>
        <w:t xml:space="preserve">робелы в </w:t>
      </w:r>
      <w:r w:rsidR="0074795D" w:rsidRPr="007976C0">
        <w:rPr>
          <w:rFonts w:cs="Times New Roman"/>
          <w:bCs/>
          <w:i/>
          <w:sz w:val="24"/>
          <w:szCs w:val="24"/>
        </w:rPr>
        <w:t xml:space="preserve">американском </w:t>
      </w:r>
      <w:r w:rsidR="002E5BF9" w:rsidRPr="007976C0">
        <w:rPr>
          <w:rFonts w:cs="Times New Roman"/>
          <w:bCs/>
          <w:i/>
          <w:sz w:val="24"/>
          <w:szCs w:val="24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7976C0">
        <w:rPr>
          <w:rFonts w:cs="Times New Roman"/>
          <w:b/>
          <w:bCs/>
          <w:i/>
          <w:sz w:val="24"/>
          <w:szCs w:val="24"/>
        </w:rPr>
        <w:t xml:space="preserve">мертвые </w:t>
      </w:r>
      <w:r w:rsidR="008F1AE5" w:rsidRPr="007976C0">
        <w:rPr>
          <w:rFonts w:cs="Times New Roman"/>
          <w:b/>
          <w:bCs/>
          <w:i/>
          <w:sz w:val="24"/>
          <w:szCs w:val="24"/>
        </w:rPr>
        <w:t xml:space="preserve">души </w:t>
      </w:r>
      <w:r w:rsidR="002E5BF9" w:rsidRPr="007976C0">
        <w:rPr>
          <w:rFonts w:cs="Times New Roman"/>
          <w:b/>
          <w:bCs/>
          <w:i/>
          <w:sz w:val="24"/>
          <w:szCs w:val="24"/>
        </w:rPr>
        <w:t xml:space="preserve">не </w:t>
      </w:r>
      <w:r w:rsidR="002E5BF9" w:rsidRPr="007976C0">
        <w:rPr>
          <w:rFonts w:cs="Times New Roman"/>
          <w:b/>
          <w:bCs/>
          <w:i/>
          <w:sz w:val="24"/>
          <w:szCs w:val="24"/>
        </w:rPr>
        <w:lastRenderedPageBreak/>
        <w:t>только голосовали, но и избирались</w:t>
      </w:r>
      <w:r w:rsidR="002E5BF9" w:rsidRPr="007976C0">
        <w:rPr>
          <w:rFonts w:cs="Times New Roman"/>
          <w:bCs/>
          <w:i/>
          <w:sz w:val="24"/>
          <w:szCs w:val="24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7976C0" w:rsidRDefault="0074795D" w:rsidP="007976C0">
      <w:pPr>
        <w:spacing w:after="0" w:line="30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7976C0">
        <w:rPr>
          <w:rFonts w:cs="Times New Roman"/>
          <w:bCs/>
          <w:i/>
          <w:sz w:val="24"/>
          <w:szCs w:val="24"/>
        </w:rPr>
        <w:t>Независимыми э</w:t>
      </w:r>
      <w:r w:rsidR="00F060A6" w:rsidRPr="007976C0">
        <w:rPr>
          <w:rFonts w:cs="Times New Roman"/>
          <w:bCs/>
          <w:i/>
          <w:sz w:val="24"/>
          <w:szCs w:val="24"/>
        </w:rPr>
        <w:t xml:space="preserve">кспертами признано, что </w:t>
      </w:r>
      <w:r w:rsidR="00132DB6" w:rsidRPr="007976C0">
        <w:rPr>
          <w:rFonts w:cs="Times New Roman"/>
          <w:bCs/>
          <w:i/>
          <w:sz w:val="24"/>
          <w:szCs w:val="24"/>
        </w:rPr>
        <w:t>«</w:t>
      </w:r>
      <w:r w:rsidR="00132DB6" w:rsidRPr="007976C0">
        <w:rPr>
          <w:rFonts w:cs="Times New Roman"/>
          <w:b/>
          <w:bCs/>
          <w:i/>
          <w:sz w:val="24"/>
          <w:szCs w:val="24"/>
        </w:rPr>
        <w:t xml:space="preserve">наиболее грязной избирательной кампанией в Евросоюзе стали </w:t>
      </w:r>
      <w:r w:rsidR="00F060A6" w:rsidRPr="007976C0">
        <w:rPr>
          <w:rFonts w:cs="Times New Roman"/>
          <w:b/>
          <w:bCs/>
          <w:i/>
          <w:sz w:val="24"/>
          <w:szCs w:val="24"/>
        </w:rPr>
        <w:t xml:space="preserve">прошедшие </w:t>
      </w:r>
      <w:r w:rsidR="00F060A6" w:rsidRPr="007976C0">
        <w:rPr>
          <w:rFonts w:cs="Times New Roman"/>
          <w:b/>
          <w:i/>
          <w:sz w:val="24"/>
          <w:szCs w:val="24"/>
        </w:rPr>
        <w:t xml:space="preserve">15 октября 2023 г. </w:t>
      </w:r>
      <w:r w:rsidR="00F060A6" w:rsidRPr="007976C0">
        <w:rPr>
          <w:rFonts w:cs="Times New Roman"/>
          <w:b/>
          <w:bCs/>
          <w:i/>
          <w:sz w:val="24"/>
          <w:szCs w:val="24"/>
        </w:rPr>
        <w:t xml:space="preserve">выборы и республиканский референдум в </w:t>
      </w:r>
      <w:r w:rsidR="00132DB6" w:rsidRPr="007976C0">
        <w:rPr>
          <w:rFonts w:cs="Times New Roman"/>
          <w:b/>
          <w:bCs/>
          <w:i/>
          <w:sz w:val="24"/>
          <w:szCs w:val="24"/>
        </w:rPr>
        <w:t>Польше</w:t>
      </w:r>
      <w:r w:rsidR="00F060A6" w:rsidRPr="007976C0">
        <w:rPr>
          <w:rFonts w:cs="Times New Roman"/>
          <w:b/>
          <w:bCs/>
          <w:i/>
          <w:sz w:val="24"/>
          <w:szCs w:val="24"/>
        </w:rPr>
        <w:t>»</w:t>
      </w:r>
      <w:r w:rsidR="00F060A6" w:rsidRPr="007976C0">
        <w:rPr>
          <w:rFonts w:cs="Times New Roman"/>
          <w:bCs/>
          <w:i/>
          <w:sz w:val="24"/>
          <w:szCs w:val="24"/>
        </w:rPr>
        <w:t>.</w:t>
      </w:r>
      <w:r w:rsidR="00132DB6" w:rsidRPr="007976C0">
        <w:rPr>
          <w:rFonts w:cs="Times New Roman"/>
          <w:bCs/>
          <w:i/>
          <w:sz w:val="24"/>
          <w:szCs w:val="24"/>
        </w:rPr>
        <w:t xml:space="preserve"> </w:t>
      </w:r>
      <w:r w:rsidR="00F060A6" w:rsidRPr="007976C0">
        <w:rPr>
          <w:rFonts w:cs="Times New Roman"/>
          <w:i/>
          <w:sz w:val="24"/>
          <w:szCs w:val="24"/>
        </w:rPr>
        <w:t>П</w:t>
      </w:r>
      <w:r w:rsidR="002E5BF9" w:rsidRPr="007976C0">
        <w:rPr>
          <w:rFonts w:cs="Times New Roman"/>
          <w:i/>
          <w:sz w:val="24"/>
          <w:szCs w:val="24"/>
        </w:rPr>
        <w:t xml:space="preserve">редставители БДИПЧ ОБСЕ отметили, что правящая </w:t>
      </w:r>
      <w:r w:rsidR="002333DF" w:rsidRPr="007976C0">
        <w:rPr>
          <w:rFonts w:cs="Times New Roman"/>
          <w:i/>
          <w:sz w:val="24"/>
          <w:szCs w:val="24"/>
        </w:rPr>
        <w:t xml:space="preserve">на тот момент </w:t>
      </w:r>
      <w:r w:rsidR="002E5BF9" w:rsidRPr="007976C0">
        <w:rPr>
          <w:rFonts w:cs="Times New Roman"/>
          <w:i/>
          <w:sz w:val="24"/>
          <w:szCs w:val="24"/>
        </w:rPr>
        <w:t xml:space="preserve">партия </w:t>
      </w:r>
      <w:r w:rsidRPr="007976C0">
        <w:rPr>
          <w:rFonts w:cs="Times New Roman"/>
          <w:i/>
          <w:sz w:val="24"/>
          <w:szCs w:val="24"/>
        </w:rPr>
        <w:t>«Право и справедливость»</w:t>
      </w:r>
      <w:r w:rsidR="00132DB6" w:rsidRPr="007976C0">
        <w:rPr>
          <w:rFonts w:cs="Times New Roman"/>
          <w:i/>
          <w:sz w:val="24"/>
          <w:szCs w:val="24"/>
        </w:rPr>
        <w:t xml:space="preserve"> (ПиС) </w:t>
      </w:r>
      <w:r w:rsidRPr="007976C0">
        <w:rPr>
          <w:rFonts w:cs="Times New Roman"/>
          <w:i/>
          <w:sz w:val="24"/>
          <w:szCs w:val="24"/>
        </w:rPr>
        <w:t>имела</w:t>
      </w:r>
      <w:r w:rsidR="002E5BF9" w:rsidRPr="007976C0">
        <w:rPr>
          <w:rFonts w:cs="Times New Roman"/>
          <w:i/>
          <w:sz w:val="24"/>
          <w:szCs w:val="24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7976C0">
        <w:rPr>
          <w:rFonts w:cs="Times New Roman"/>
          <w:bCs/>
          <w:i/>
          <w:sz w:val="24"/>
          <w:szCs w:val="24"/>
        </w:rPr>
        <w:t xml:space="preserve">кампания характеризовалась </w:t>
      </w:r>
      <w:r w:rsidR="00132DB6" w:rsidRPr="007976C0">
        <w:rPr>
          <w:rFonts w:cs="Times New Roman"/>
          <w:bCs/>
          <w:i/>
          <w:sz w:val="24"/>
          <w:szCs w:val="24"/>
        </w:rPr>
        <w:t>«</w:t>
      </w:r>
      <w:r w:rsidR="002E5BF9" w:rsidRPr="007976C0">
        <w:rPr>
          <w:rFonts w:cs="Times New Roman"/>
          <w:bCs/>
          <w:i/>
          <w:sz w:val="24"/>
          <w:szCs w:val="24"/>
        </w:rPr>
        <w:t>широким использованием риторики нетерпимости, ксенофобии и женоненавистничества</w:t>
      </w:r>
      <w:r w:rsidR="00132DB6" w:rsidRPr="007976C0">
        <w:rPr>
          <w:rFonts w:cs="Times New Roman"/>
          <w:bCs/>
          <w:i/>
          <w:sz w:val="24"/>
          <w:szCs w:val="24"/>
        </w:rPr>
        <w:t>»</w:t>
      </w:r>
      <w:r w:rsidR="002E5BF9" w:rsidRPr="007976C0">
        <w:rPr>
          <w:rFonts w:cs="Times New Roman"/>
          <w:i/>
          <w:sz w:val="24"/>
          <w:szCs w:val="24"/>
        </w:rPr>
        <w:t>.</w:t>
      </w:r>
      <w:r w:rsidR="002C72BE" w:rsidRPr="007976C0">
        <w:rPr>
          <w:rFonts w:cs="Times New Roman"/>
          <w:i/>
          <w:sz w:val="24"/>
          <w:szCs w:val="24"/>
        </w:rPr>
        <w:t xml:space="preserve"> </w:t>
      </w:r>
      <w:r w:rsidR="00132DB6" w:rsidRPr="007976C0">
        <w:rPr>
          <w:rFonts w:cs="Times New Roman"/>
          <w:i/>
          <w:sz w:val="24"/>
          <w:szCs w:val="24"/>
        </w:rPr>
        <w:t>П</w:t>
      </w:r>
      <w:r w:rsidR="00F060A6" w:rsidRPr="007976C0">
        <w:rPr>
          <w:rFonts w:cs="Times New Roman"/>
          <w:i/>
          <w:sz w:val="24"/>
          <w:szCs w:val="24"/>
        </w:rPr>
        <w:t>арти</w:t>
      </w:r>
      <w:r w:rsidR="00132DB6" w:rsidRPr="007976C0">
        <w:rPr>
          <w:rFonts w:cs="Times New Roman"/>
          <w:i/>
          <w:sz w:val="24"/>
          <w:szCs w:val="24"/>
        </w:rPr>
        <w:t>я</w:t>
      </w:r>
      <w:r w:rsidR="002C72BE" w:rsidRPr="007976C0">
        <w:rPr>
          <w:rFonts w:cs="Times New Roman"/>
          <w:i/>
          <w:sz w:val="24"/>
          <w:szCs w:val="24"/>
        </w:rPr>
        <w:t xml:space="preserve"> </w:t>
      </w:r>
      <w:r w:rsidRPr="007976C0">
        <w:rPr>
          <w:rFonts w:cs="Times New Roman"/>
          <w:i/>
          <w:sz w:val="24"/>
          <w:szCs w:val="24"/>
        </w:rPr>
        <w:t>ПиС</w:t>
      </w:r>
      <w:r w:rsidR="002C72BE" w:rsidRPr="007976C0">
        <w:rPr>
          <w:rFonts w:cs="Times New Roman"/>
          <w:i/>
          <w:sz w:val="24"/>
          <w:szCs w:val="24"/>
        </w:rPr>
        <w:t xml:space="preserve"> </w:t>
      </w:r>
      <w:r w:rsidR="00132DB6" w:rsidRPr="007976C0">
        <w:rPr>
          <w:rFonts w:cs="Times New Roman"/>
          <w:i/>
          <w:sz w:val="24"/>
          <w:szCs w:val="24"/>
        </w:rPr>
        <w:t>обошла</w:t>
      </w:r>
      <w:r w:rsidR="002C72BE" w:rsidRPr="007976C0">
        <w:rPr>
          <w:rFonts w:cs="Times New Roman"/>
          <w:i/>
          <w:sz w:val="24"/>
          <w:szCs w:val="24"/>
        </w:rPr>
        <w:t xml:space="preserve"> законы о финансировании избирательных кампаний.</w:t>
      </w:r>
      <w:r w:rsidR="00132DB6" w:rsidRPr="007976C0">
        <w:rPr>
          <w:rFonts w:cs="Times New Roman"/>
          <w:i/>
          <w:sz w:val="24"/>
          <w:szCs w:val="24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7976C0">
        <w:rPr>
          <w:rFonts w:cs="Times New Roman"/>
          <w:i/>
          <w:sz w:val="24"/>
          <w:szCs w:val="24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7976C0">
        <w:rPr>
          <w:rFonts w:cs="Times New Roman"/>
          <w:i/>
          <w:sz w:val="24"/>
          <w:szCs w:val="24"/>
        </w:rPr>
        <w:t>В итоге явка на референдуме провалилась, а у ПиС оказалось</w:t>
      </w:r>
      <w:r w:rsidR="00C82935" w:rsidRPr="007976C0">
        <w:rPr>
          <w:rFonts w:cs="Times New Roman"/>
          <w:i/>
          <w:iCs/>
          <w:sz w:val="24"/>
          <w:szCs w:val="24"/>
        </w:rPr>
        <w:t xml:space="preserve"> всего 194 депутатских кресла в Сейме из 460 возможных и только треть – в Сенате.</w:t>
      </w:r>
      <w:r w:rsidR="00C82935" w:rsidRPr="007976C0">
        <w:rPr>
          <w:rFonts w:cs="Times New Roman"/>
          <w:i/>
          <w:sz w:val="24"/>
          <w:szCs w:val="24"/>
        </w:rPr>
        <w:t xml:space="preserve"> П</w:t>
      </w:r>
      <w:r w:rsidR="00132DB6" w:rsidRPr="007976C0">
        <w:rPr>
          <w:rFonts w:cs="Times New Roman"/>
          <w:i/>
          <w:sz w:val="24"/>
          <w:szCs w:val="24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7976C0">
        <w:rPr>
          <w:rFonts w:cs="Times New Roman"/>
          <w:i/>
          <w:sz w:val="24"/>
          <w:szCs w:val="24"/>
        </w:rPr>
        <w:t>Как считает</w:t>
      </w:r>
      <w:r w:rsidR="002E5BF9" w:rsidRPr="007976C0">
        <w:rPr>
          <w:rFonts w:cs="Times New Roman"/>
          <w:i/>
          <w:sz w:val="24"/>
          <w:szCs w:val="24"/>
        </w:rPr>
        <w:t xml:space="preserve"> </w:t>
      </w:r>
      <w:r w:rsidR="00C82935" w:rsidRPr="007976C0">
        <w:rPr>
          <w:rFonts w:cs="Times New Roman"/>
          <w:i/>
          <w:iCs/>
          <w:sz w:val="24"/>
          <w:szCs w:val="24"/>
        </w:rPr>
        <w:t xml:space="preserve">глава делегации ПА ОБСЕ </w:t>
      </w:r>
      <w:r w:rsidR="00C82935" w:rsidRPr="007976C0">
        <w:rPr>
          <w:rFonts w:cs="Times New Roman"/>
          <w:bCs/>
          <w:i/>
          <w:iCs/>
          <w:sz w:val="24"/>
          <w:szCs w:val="24"/>
        </w:rPr>
        <w:t>П.Х.Понс</w:t>
      </w:r>
      <w:r w:rsidR="002E5BF9" w:rsidRPr="007976C0">
        <w:rPr>
          <w:rFonts w:cs="Times New Roman"/>
          <w:i/>
          <w:sz w:val="24"/>
          <w:szCs w:val="24"/>
        </w:rPr>
        <w:t xml:space="preserve">, </w:t>
      </w:r>
      <w:r w:rsidR="00C82935" w:rsidRPr="007976C0">
        <w:rPr>
          <w:rFonts w:cs="Times New Roman"/>
          <w:b/>
          <w:i/>
          <w:sz w:val="24"/>
          <w:szCs w:val="24"/>
        </w:rPr>
        <w:t>«</w:t>
      </w:r>
      <w:r w:rsidR="002E5BF9" w:rsidRPr="007976C0">
        <w:rPr>
          <w:rFonts w:cs="Times New Roman"/>
          <w:b/>
          <w:i/>
          <w:sz w:val="24"/>
          <w:szCs w:val="24"/>
        </w:rPr>
        <w:t>выборы в Польше показали эрозию системы сдержек и противовесов государства</w:t>
      </w:r>
      <w:r w:rsidR="00C82935" w:rsidRPr="007976C0">
        <w:rPr>
          <w:rFonts w:cs="Times New Roman"/>
          <w:b/>
          <w:i/>
          <w:sz w:val="24"/>
          <w:szCs w:val="24"/>
        </w:rPr>
        <w:t>»</w:t>
      </w:r>
      <w:r w:rsidR="00C82935" w:rsidRPr="007976C0">
        <w:rPr>
          <w:rFonts w:cs="Times New Roman"/>
          <w:i/>
          <w:sz w:val="24"/>
          <w:szCs w:val="24"/>
        </w:rPr>
        <w:t>.</w:t>
      </w:r>
      <w:r w:rsidR="00C82935" w:rsidRPr="007976C0">
        <w:rPr>
          <w:rFonts w:cs="Times New Roman"/>
          <w:b/>
          <w:i/>
          <w:sz w:val="24"/>
          <w:szCs w:val="24"/>
        </w:rPr>
        <w:t xml:space="preserve"> </w:t>
      </w:r>
      <w:r w:rsidR="002E5BF9" w:rsidRPr="007976C0">
        <w:rPr>
          <w:rFonts w:cs="Times New Roman"/>
          <w:b/>
          <w:i/>
          <w:sz w:val="24"/>
          <w:szCs w:val="24"/>
        </w:rPr>
        <w:t xml:space="preserve"> </w:t>
      </w:r>
    </w:p>
    <w:p w14:paraId="16502A1D" w14:textId="1DC454FE" w:rsidR="00583B90" w:rsidRPr="007976C0" w:rsidRDefault="00583B90" w:rsidP="007976C0">
      <w:pPr>
        <w:spacing w:after="12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7976C0">
        <w:rPr>
          <w:rFonts w:cs="Times New Roman"/>
          <w:bCs/>
          <w:i/>
          <w:sz w:val="24"/>
          <w:szCs w:val="24"/>
        </w:rPr>
        <w:t xml:space="preserve">В </w:t>
      </w:r>
      <w:r w:rsidRPr="007976C0">
        <w:rPr>
          <w:rFonts w:cs="Times New Roman"/>
          <w:b/>
          <w:bCs/>
          <w:i/>
          <w:sz w:val="24"/>
          <w:szCs w:val="24"/>
        </w:rPr>
        <w:t>Болгарии</w:t>
      </w:r>
      <w:r w:rsidRPr="007976C0">
        <w:rPr>
          <w:rFonts w:cs="Times New Roman"/>
          <w:bCs/>
          <w:i/>
          <w:sz w:val="24"/>
          <w:szCs w:val="24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7976C0">
        <w:rPr>
          <w:rFonts w:cs="Times New Roman"/>
          <w:b/>
          <w:bCs/>
          <w:i/>
          <w:sz w:val="24"/>
          <w:szCs w:val="24"/>
        </w:rPr>
        <w:t>подкупом голосов и неправомерной агитацией</w:t>
      </w:r>
      <w:r w:rsidRPr="007976C0">
        <w:rPr>
          <w:rFonts w:cs="Times New Roman"/>
          <w:bCs/>
          <w:i/>
          <w:sz w:val="24"/>
          <w:szCs w:val="24"/>
        </w:rPr>
        <w:t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5713D298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 w:rsidR="007976C0">
        <w:rPr>
          <w:bCs/>
          <w:sz w:val="30"/>
          <w:szCs w:val="30"/>
        </w:rPr>
        <w:t xml:space="preserve">           </w:t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03AC1288" w14:textId="77777777" w:rsidR="007976C0" w:rsidRDefault="007976C0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</w:p>
    <w:p w14:paraId="1CFD3D00" w14:textId="5EC6976D" w:rsidR="008A565F" w:rsidRPr="007976C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7976C0">
        <w:rPr>
          <w:rFonts w:eastAsia="Calibri" w:cs="Times New Roman"/>
          <w:b/>
          <w:i/>
          <w:sz w:val="24"/>
          <w:szCs w:val="24"/>
        </w:rPr>
        <w:lastRenderedPageBreak/>
        <w:t>Справочно:</w:t>
      </w:r>
    </w:p>
    <w:p w14:paraId="3A19F7E6" w14:textId="3C5BBBEB" w:rsidR="008A565F" w:rsidRPr="007976C0" w:rsidRDefault="008A565F" w:rsidP="007976C0">
      <w:pPr>
        <w:spacing w:after="0" w:line="300" w:lineRule="exact"/>
        <w:ind w:firstLine="709"/>
        <w:jc w:val="both"/>
        <w:rPr>
          <w:rFonts w:eastAsia="Calibri" w:cs="Times New Roman"/>
          <w:i/>
          <w:spacing w:val="-4"/>
          <w:sz w:val="24"/>
          <w:szCs w:val="24"/>
        </w:rPr>
      </w:pPr>
      <w:r w:rsidRPr="007976C0">
        <w:rPr>
          <w:rFonts w:eastAsia="Calibri" w:cs="Times New Roman"/>
          <w:i/>
          <w:sz w:val="24"/>
          <w:szCs w:val="24"/>
        </w:rPr>
        <w:t xml:space="preserve">Избиратели в зависимости от места регистрации для голосования будут получать </w:t>
      </w:r>
      <w:r w:rsidRPr="007976C0">
        <w:rPr>
          <w:rFonts w:eastAsia="Calibri" w:cs="Times New Roman"/>
          <w:b/>
          <w:i/>
          <w:sz w:val="24"/>
          <w:szCs w:val="24"/>
        </w:rPr>
        <w:t>от 2 бюллетеней</w:t>
      </w:r>
      <w:r w:rsidRPr="007976C0">
        <w:rPr>
          <w:rFonts w:eastAsia="Calibri" w:cs="Times New Roman"/>
          <w:i/>
          <w:sz w:val="24"/>
          <w:szCs w:val="24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7976C0">
        <w:rPr>
          <w:rFonts w:eastAsia="Calibri" w:cs="Times New Roman"/>
          <w:b/>
          <w:i/>
          <w:sz w:val="24"/>
          <w:szCs w:val="24"/>
        </w:rPr>
        <w:t>до 4 бюллетеней</w:t>
      </w:r>
      <w:r w:rsidRPr="007976C0">
        <w:rPr>
          <w:rFonts w:eastAsia="Calibri" w:cs="Times New Roman"/>
          <w:i/>
          <w:sz w:val="24"/>
          <w:szCs w:val="24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7976C0">
        <w:rPr>
          <w:rFonts w:eastAsia="Calibri" w:cs="Times New Roman"/>
          <w:i/>
          <w:spacing w:val="-4"/>
          <w:sz w:val="24"/>
          <w:szCs w:val="24"/>
        </w:rPr>
        <w:t xml:space="preserve">областного Советов депутатов). </w:t>
      </w:r>
    </w:p>
    <w:p w14:paraId="114816A9" w14:textId="77777777" w:rsidR="008A565F" w:rsidRPr="007976C0" w:rsidRDefault="008A565F" w:rsidP="007976C0">
      <w:pPr>
        <w:spacing w:after="0" w:line="300" w:lineRule="exact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7976C0">
        <w:rPr>
          <w:rFonts w:eastAsia="Calibri" w:cs="Times New Roman"/>
          <w:i/>
          <w:spacing w:val="-4"/>
          <w:sz w:val="24"/>
          <w:szCs w:val="24"/>
        </w:rPr>
        <w:t>Согласно избирательному</w:t>
      </w:r>
      <w:r w:rsidRPr="007976C0">
        <w:rPr>
          <w:rFonts w:eastAsia="Calibri" w:cs="Times New Roman"/>
          <w:i/>
          <w:sz w:val="24"/>
          <w:szCs w:val="24"/>
        </w:rPr>
        <w:t xml:space="preserve"> законодательству для удобства избирателей выдаваемые бюллетени будут отличаться по цвету и (или)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C7D7E87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 Совета депутатов 29-го созыва. Аналогичные решения, об установлении избирательных округов, подлежащих образованию, и средняя численность избирателей на избирательный округ, до 1 сентября 2023 г. приняты во всех городских, районных и сельских Советах депутатов области.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lastRenderedPageBreak/>
        <w:t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депутатов Палаты представителей Национального собрания Республики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г.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(городов районного подчинения), 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6181671D" w14:textId="77777777" w:rsidR="00EF3C5B" w:rsidRDefault="007976C0" w:rsidP="008A565F">
      <w:pPr>
        <w:pStyle w:val="11"/>
        <w:spacing w:line="240" w:lineRule="auto"/>
        <w:ind w:firstLine="680"/>
        <w:jc w:val="both"/>
        <w:rPr>
          <w:i/>
          <w:sz w:val="30"/>
          <w:szCs w:val="30"/>
        </w:rPr>
      </w:pPr>
      <w:r w:rsidRPr="00EF3C5B">
        <w:rPr>
          <w:i/>
          <w:sz w:val="30"/>
          <w:szCs w:val="30"/>
        </w:rPr>
        <w:t xml:space="preserve">В </w:t>
      </w:r>
      <w:r w:rsidRPr="002A4603">
        <w:rPr>
          <w:b/>
          <w:i/>
          <w:sz w:val="30"/>
          <w:szCs w:val="30"/>
        </w:rPr>
        <w:t>Мостовском районе</w:t>
      </w:r>
      <w:r w:rsidRPr="00EF3C5B">
        <w:rPr>
          <w:i/>
          <w:sz w:val="30"/>
          <w:szCs w:val="30"/>
        </w:rPr>
        <w:t xml:space="preserve"> </w:t>
      </w:r>
      <w:r w:rsidR="00EF3C5B" w:rsidRPr="00EF3C5B">
        <w:rPr>
          <w:i/>
          <w:sz w:val="30"/>
          <w:szCs w:val="30"/>
        </w:rPr>
        <w:t>в районный Совет депутатов будет избран</w:t>
      </w:r>
      <w:r w:rsidR="00EF3C5B">
        <w:rPr>
          <w:i/>
          <w:sz w:val="30"/>
          <w:szCs w:val="30"/>
        </w:rPr>
        <w:t>о 27 депутатов.</w:t>
      </w:r>
    </w:p>
    <w:p w14:paraId="12821E30" w14:textId="2EAAE4B2" w:rsidR="007976C0" w:rsidRPr="00EF3C5B" w:rsidRDefault="00EF3C5B" w:rsidP="008A565F">
      <w:pPr>
        <w:pStyle w:val="11"/>
        <w:spacing w:line="240" w:lineRule="auto"/>
        <w:ind w:firstLine="68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EF3C5B">
        <w:rPr>
          <w:i/>
          <w:sz w:val="30"/>
          <w:szCs w:val="30"/>
        </w:rPr>
        <w:t xml:space="preserve"> 6 сельских Советов депутатов</w:t>
      </w:r>
      <w:r w:rsidRPr="00EF3C5B"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будет избрано </w:t>
      </w:r>
      <w:r w:rsidRPr="00EF3C5B">
        <w:rPr>
          <w:i/>
          <w:sz w:val="30"/>
          <w:szCs w:val="30"/>
        </w:rPr>
        <w:t>40 депутатов</w:t>
      </w:r>
      <w:r>
        <w:rPr>
          <w:i/>
          <w:sz w:val="30"/>
          <w:szCs w:val="30"/>
        </w:rPr>
        <w:t xml:space="preserve"> (в 4 сельских Совета депутатов</w:t>
      </w:r>
      <w:r w:rsidR="002A4603">
        <w:rPr>
          <w:i/>
          <w:sz w:val="30"/>
          <w:szCs w:val="30"/>
        </w:rPr>
        <w:t xml:space="preserve"> изберут по 6 депутатов, в 2 (Мостовский и Песковский) – по 8 депутатов)</w:t>
      </w:r>
      <w:r>
        <w:rPr>
          <w:i/>
          <w:sz w:val="30"/>
          <w:szCs w:val="30"/>
        </w:rPr>
        <w:t>.</w:t>
      </w:r>
    </w:p>
    <w:p w14:paraId="0618CB5B" w14:textId="7E440509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областная, 13 окружных, 1 городская (областного подчинения), 17 районных, 2 городских (районного подчинения), 151 сельская). </w:t>
      </w:r>
    </w:p>
    <w:p w14:paraId="76FF3CD7" w14:textId="42A9BE69" w:rsidR="002A4603" w:rsidRPr="002A4603" w:rsidRDefault="002A4603" w:rsidP="008A565F">
      <w:pPr>
        <w:pStyle w:val="11"/>
        <w:spacing w:line="240" w:lineRule="auto"/>
        <w:ind w:firstLine="680"/>
        <w:jc w:val="both"/>
        <w:rPr>
          <w:i/>
          <w:sz w:val="30"/>
          <w:szCs w:val="30"/>
        </w:rPr>
      </w:pPr>
      <w:r w:rsidRPr="002A4603">
        <w:rPr>
          <w:i/>
          <w:sz w:val="30"/>
          <w:szCs w:val="30"/>
        </w:rPr>
        <w:t>Для организации гол</w:t>
      </w:r>
      <w:bookmarkStart w:id="1" w:name="_GoBack"/>
      <w:bookmarkEnd w:id="1"/>
      <w:r w:rsidRPr="002A4603">
        <w:rPr>
          <w:i/>
          <w:sz w:val="30"/>
          <w:szCs w:val="30"/>
        </w:rPr>
        <w:t xml:space="preserve">осования </w:t>
      </w:r>
      <w:r w:rsidRPr="002A4603">
        <w:rPr>
          <w:b/>
          <w:i/>
          <w:sz w:val="30"/>
          <w:szCs w:val="30"/>
        </w:rPr>
        <w:t>в Мостовском районе</w:t>
      </w:r>
      <w:r w:rsidRPr="002A4603">
        <w:rPr>
          <w:i/>
          <w:sz w:val="30"/>
          <w:szCs w:val="30"/>
        </w:rPr>
        <w:t xml:space="preserve"> образованы 28 избирательных участков, в том числе 9 – в городе Мосты и 19 в сельской местности.</w:t>
      </w:r>
    </w:p>
    <w:p w14:paraId="003E16BD" w14:textId="4ECF04FD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</w:t>
      </w:r>
      <w:r w:rsidRPr="002B77BA">
        <w:rPr>
          <w:sz w:val="30"/>
          <w:szCs w:val="30"/>
        </w:rPr>
        <w:lastRenderedPageBreak/>
        <w:t xml:space="preserve">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3C9759A6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составе комиссий 43 представителя политических партий </w:t>
      </w:r>
      <w:r w:rsidR="007976C0">
        <w:rPr>
          <w:sz w:val="30"/>
          <w:szCs w:val="30"/>
        </w:rPr>
        <w:t xml:space="preserve">        </w:t>
      </w:r>
      <w:r w:rsidRPr="002B77BA">
        <w:rPr>
          <w:sz w:val="30"/>
          <w:szCs w:val="30"/>
        </w:rPr>
        <w:t>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 xml:space="preserve">На </w:t>
      </w:r>
      <w:r w:rsidRPr="004335CF">
        <w:rPr>
          <w:sz w:val="30"/>
          <w:szCs w:val="30"/>
        </w:rPr>
        <w:lastRenderedPageBreak/>
        <w:t>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2DF6" w14:textId="77777777" w:rsidR="0051512F" w:rsidRDefault="0051512F" w:rsidP="008D6350">
      <w:pPr>
        <w:spacing w:after="0" w:line="240" w:lineRule="auto"/>
      </w:pPr>
      <w:r>
        <w:separator/>
      </w:r>
    </w:p>
  </w:endnote>
  <w:endnote w:type="continuationSeparator" w:id="0">
    <w:p w14:paraId="28E90107" w14:textId="77777777" w:rsidR="0051512F" w:rsidRDefault="0051512F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A387" w14:textId="77777777" w:rsidR="0051512F" w:rsidRDefault="0051512F" w:rsidP="008D6350">
      <w:pPr>
        <w:spacing w:after="0" w:line="240" w:lineRule="auto"/>
      </w:pPr>
      <w:r>
        <w:separator/>
      </w:r>
    </w:p>
  </w:footnote>
  <w:footnote w:type="continuationSeparator" w:id="0">
    <w:p w14:paraId="2426EBBA" w14:textId="77777777" w:rsidR="0051512F" w:rsidRDefault="0051512F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50B60DEF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603">
          <w:rPr>
            <w:noProof/>
          </w:rPr>
          <w:t>10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D58EF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603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16B8D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12F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976C0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EF3C5B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  <w15:docId w15:val="{EE0FEF08-833B-45E6-A6AE-2355485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Дмитрий Валентинович Невертович</cp:lastModifiedBy>
  <cp:revision>6</cp:revision>
  <cp:lastPrinted>2023-11-21T06:35:00Z</cp:lastPrinted>
  <dcterms:created xsi:type="dcterms:W3CDTF">2024-01-15T05:55:00Z</dcterms:created>
  <dcterms:modified xsi:type="dcterms:W3CDTF">2024-01-15T16:15:00Z</dcterms:modified>
</cp:coreProperties>
</file>