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94" w:rsidRDefault="00391F94">
      <w:pPr>
        <w:pStyle w:val="newncpi"/>
        <w:ind w:firstLine="0"/>
        <w:jc w:val="center"/>
      </w:pPr>
      <w:bookmarkStart w:id="0" w:name="_GoBack"/>
      <w:bookmarkEnd w:id="0"/>
      <w:r>
        <w:rPr>
          <w:rStyle w:val="name"/>
        </w:rPr>
        <w:t>ДИРЕКТИВА </w:t>
      </w:r>
      <w:r>
        <w:rPr>
          <w:rStyle w:val="promulgator"/>
        </w:rPr>
        <w:t>ПРЕЗИДЕНТА РЕСПУБЛИКИ БЕЛАРУСЬ</w:t>
      </w:r>
    </w:p>
    <w:p w:rsidR="00391F94" w:rsidRDefault="00391F94">
      <w:pPr>
        <w:pStyle w:val="newncpi"/>
        <w:ind w:firstLine="0"/>
        <w:jc w:val="center"/>
      </w:pPr>
      <w:r>
        <w:rPr>
          <w:rStyle w:val="datepr"/>
        </w:rPr>
        <w:t>14 июня 2007 г.</w:t>
      </w:r>
      <w:r>
        <w:rPr>
          <w:rStyle w:val="number"/>
        </w:rPr>
        <w:t xml:space="preserve"> № 3</w:t>
      </w:r>
    </w:p>
    <w:p w:rsidR="00391F94" w:rsidRDefault="00391F94">
      <w:pPr>
        <w:pStyle w:val="titlencpi"/>
      </w:pPr>
      <w:r>
        <w:t>О приоритетных направлениях укрепления экономической безопасности государства</w:t>
      </w:r>
    </w:p>
    <w:p w:rsidR="00391F94" w:rsidRDefault="00391F94">
      <w:pPr>
        <w:pStyle w:val="changei"/>
      </w:pPr>
      <w:r>
        <w:t>Изменения и дополнения:</w:t>
      </w:r>
    </w:p>
    <w:p w:rsidR="00391F94" w:rsidRDefault="00391F94">
      <w:pPr>
        <w:pStyle w:val="changeadd"/>
      </w:pPr>
      <w:r>
        <w:t>Указ Президента Республики Беларусь от 26 января 2016 г. № 26 (Национальный правовой Интернет-портал Республики Беларусь, 28.01.2016, 1/16252) &lt;P31600026&gt;;</w:t>
      </w:r>
    </w:p>
    <w:p w:rsidR="00391F94" w:rsidRDefault="00391F94">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391F94" w:rsidRDefault="00391F94">
      <w:pPr>
        <w:pStyle w:val="newncpi"/>
      </w:pPr>
      <w:r>
        <w:t> </w:t>
      </w:r>
    </w:p>
    <w:p w:rsidR="00391F94" w:rsidRDefault="00391F94">
      <w:pPr>
        <w:pStyle w:val="newncpi"/>
      </w:pPr>
      <w: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391F94" w:rsidRDefault="00391F94">
      <w:pPr>
        <w:pStyle w:val="newncpi"/>
      </w:pPr>
      <w:r>
        <w:t>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энерго- и ресурсосберегающих технологий.</w:t>
      </w:r>
    </w:p>
    <w:p w:rsidR="00391F94" w:rsidRDefault="00391F94">
      <w:pPr>
        <w:pStyle w:val="newncpi"/>
      </w:pPr>
      <w:r>
        <w:t>Однако экономика не смогла в полной мере среагировать на современные вызовы, обусловленные общемировыми кризисными явлениями, обострением межстрановой конкуренции и нарастающими противоречиями между интеграционными группировками стран.</w:t>
      </w:r>
    </w:p>
    <w:p w:rsidR="00391F94" w:rsidRDefault="00391F94">
      <w:pPr>
        <w:pStyle w:val="newncpi"/>
      </w:pPr>
      <w:r>
        <w:t>В сфере экономической безопасности остается ряд проблем, требующих скорейшего решения.</w:t>
      </w:r>
    </w:p>
    <w:p w:rsidR="00391F94" w:rsidRDefault="00391F94">
      <w:pPr>
        <w:pStyle w:val="newncpi"/>
      </w:pPr>
      <w:r>
        <w:t>Республика Беларусь по производительности труда отстает от уровня Европейского союза почти в 4–5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rsidR="00391F94" w:rsidRDefault="00391F94">
      <w:pPr>
        <w:pStyle w:val="newncpi"/>
      </w:pPr>
      <w:r>
        <w:t>По-прежнему актуальной является проблема высокой энерго-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391F94" w:rsidRDefault="00391F94">
      <w:pPr>
        <w:pStyle w:val="newncpi"/>
      </w:pPr>
      <w:r>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
    <w:p w:rsidR="00391F94" w:rsidRDefault="00391F94">
      <w:pPr>
        <w:pStyle w:val="newncpi"/>
      </w:pPr>
      <w:r>
        <w:t>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10–15 лет и способствовать увеличению концентрации национальных интеллектуальных ресурсов в сфере научно-исследовательских и опытно-конструкторских (опытно-технологических) работ, интеграции в мировые технологические переделы, росту инвестиционных потоков и валового внутреннего продукта страны.</w:t>
      </w:r>
    </w:p>
    <w:p w:rsidR="00391F94" w:rsidRDefault="00391F94">
      <w:pPr>
        <w:pStyle w:val="newncpi"/>
      </w:pPr>
      <w:r>
        <w:lastRenderedPageBreak/>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rsidR="00391F94" w:rsidRDefault="00391F94">
      <w:pPr>
        <w:pStyle w:val="newncpi"/>
      </w:pPr>
      <w: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391F94" w:rsidRDefault="00391F94">
      <w:pPr>
        <w:pStyle w:val="newncpi"/>
      </w:pPr>
      <w:r>
        <w:t>Обеспечение энергетической безопасности должно осуществляться путем развития собственной энергосырьевой базы, диверсификации топливно-энергетических ресурсов по видам и странам, снижения энергоемкости валового внутреннего продукта.</w:t>
      </w:r>
    </w:p>
    <w:p w:rsidR="00391F94" w:rsidRDefault="00391F94">
      <w:pPr>
        <w:pStyle w:val="newncpi"/>
      </w:pPr>
      <w:r>
        <w:t>В целях укрепления экономической безопасности государства необходимо:</w:t>
      </w:r>
    </w:p>
    <w:p w:rsidR="00391F94" w:rsidRDefault="00391F94">
      <w:pPr>
        <w:pStyle w:val="point"/>
      </w:pPr>
      <w:r>
        <w:rPr>
          <w:b/>
          <w:bCs/>
        </w:rPr>
        <w:t>1. Обеспечить планомерную диверсификацию экспорта</w:t>
      </w:r>
      <w:r>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треть–треть–треть.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391F94" w:rsidRDefault="00391F94">
      <w:pPr>
        <w:pStyle w:val="underpoint"/>
      </w:pPr>
      <w:r>
        <w:t>1.1. осуществлять поиск и внедрение новых форм и методов продвижения белорусских товаров, работ и услуг на традиционные и новые рынки сбыта;</w:t>
      </w:r>
    </w:p>
    <w:p w:rsidR="00391F94" w:rsidRDefault="00391F94">
      <w:pPr>
        <w:pStyle w:val="underpoint"/>
      </w:pPr>
      <w:r>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rsidR="00391F94" w:rsidRDefault="00391F94">
      <w:pPr>
        <w:pStyle w:val="underpoint"/>
      </w:pPr>
      <w:r>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391F94" w:rsidRDefault="00391F94">
      <w:pPr>
        <w:pStyle w:val="underpoint"/>
      </w:pPr>
      <w:r>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391F94" w:rsidRDefault="00391F94">
      <w:pPr>
        <w:pStyle w:val="underpoint"/>
      </w:pPr>
      <w:r>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391F94" w:rsidRDefault="00391F94">
      <w:pPr>
        <w:pStyle w:val="underpoint"/>
      </w:pPr>
      <w:r>
        <w:t>1.6. расширять международную кооперацию путем создания долгосрочных альянсов различного типа (совместные производства за пределами Республики Беларусь, франчайзинговые, лицензионные и лизинговые соглашения и другое) в целях освоения передовых технологий, выпуска новых товаров и сопровождения их реализации сопутствующими услугами;</w:t>
      </w:r>
    </w:p>
    <w:p w:rsidR="00391F94" w:rsidRDefault="00391F94">
      <w:pPr>
        <w:pStyle w:val="underpoint"/>
      </w:pPr>
      <w:r>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391F94" w:rsidRDefault="00391F94">
      <w:pPr>
        <w:pStyle w:val="underpoint"/>
      </w:pPr>
      <w:r>
        <w:t xml:space="preserve">1.8. 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w:t>
      </w:r>
      <w:r>
        <w:lastRenderedPageBreak/>
        <w:t>оборудования, патентов на производство новейших видов продукции, получения доступа к товаропроводящей сети транснациональных корпораций;</w:t>
      </w:r>
    </w:p>
    <w:p w:rsidR="00391F94" w:rsidRDefault="00391F94">
      <w:pPr>
        <w:pStyle w:val="underpoint"/>
      </w:pPr>
      <w:r>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rsidR="00391F94" w:rsidRDefault="00391F94">
      <w:pPr>
        <w:pStyle w:val="point"/>
      </w:pPr>
      <w:r>
        <w:rPr>
          <w:b/>
          <w:bCs/>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rsidR="00391F94" w:rsidRDefault="00391F94">
      <w:pPr>
        <w:pStyle w:val="underpoint"/>
      </w:pPr>
      <w:r>
        <w:t>2.1. обеспечить повышение роли и вклада научного сообщества в решение государственно значимых задач;</w:t>
      </w:r>
    </w:p>
    <w:p w:rsidR="00391F94" w:rsidRDefault="00391F94">
      <w:pPr>
        <w:pStyle w:val="underpoint"/>
      </w:pPr>
      <w:r>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391F94" w:rsidRDefault="00391F94">
      <w:pPr>
        <w:pStyle w:val="underpoint"/>
      </w:pPr>
      <w:r>
        <w:t>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био- и нанотехнологий, информационных технологий, новых материалов с заданным уровнем свойств;</w:t>
      </w:r>
    </w:p>
    <w:p w:rsidR="00391F94" w:rsidRDefault="00391F94">
      <w:pPr>
        <w:pStyle w:val="underpoint"/>
      </w:pPr>
      <w:r>
        <w:t>2.4. обеспечить формирование и развитие системы государственно-частного партнерства, предусматривающей вовлечение частного бизнеса в процесс создания инновационно ориентированной экономики;</w:t>
      </w:r>
    </w:p>
    <w:p w:rsidR="00391F94" w:rsidRDefault="00391F94">
      <w:pPr>
        <w:pStyle w:val="underpoint"/>
      </w:pPr>
      <w:r>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rsidR="00391F94" w:rsidRDefault="00391F94">
      <w:pPr>
        <w:pStyle w:val="underpoint"/>
      </w:pPr>
      <w:r>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rsidR="00391F94" w:rsidRDefault="00391F94">
      <w:pPr>
        <w:pStyle w:val="underpoint"/>
      </w:pPr>
      <w:r>
        <w:t>2.7. в целях реализации задач, определенных подпунктами 2.1–2.6 настоящего пункта, Совету Министров Республики Беларусь принять системные меры по:</w:t>
      </w:r>
    </w:p>
    <w:p w:rsidR="00391F94" w:rsidRDefault="00391F94">
      <w:pPr>
        <w:pStyle w:val="newncpi"/>
      </w:pPr>
      <w:r>
        <w:t>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инновационно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 продукции, до 21 процента;</w:t>
      </w:r>
    </w:p>
    <w:p w:rsidR="00391F94" w:rsidRDefault="00391F94">
      <w:pPr>
        <w:pStyle w:val="newncpi"/>
      </w:pPr>
      <w:r>
        <w:t>наращиванию бюджетных расходов на научную, научно-техническую и инновационную деятельность до 1 процента от валового внутреннего продукта;</w:t>
      </w:r>
    </w:p>
    <w:p w:rsidR="00391F94" w:rsidRDefault="00391F94">
      <w:pPr>
        <w:pStyle w:val="newncpi"/>
      </w:pPr>
      <w:r>
        <w:t>формированию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rsidR="00391F94" w:rsidRDefault="00391F94">
      <w:pPr>
        <w:pStyle w:val="newncpi"/>
      </w:pPr>
      <w:r>
        <w:t>обеспечению ускоренного развития Парка высоких технологий, Китайско-Белорусского индустриального парка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391F94" w:rsidRDefault="00391F94">
      <w:pPr>
        <w:pStyle w:val="newncpi"/>
      </w:pPr>
      <w:r>
        <w:t>созданию условий для организации бизнес-инкубирования микро-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391F94" w:rsidRDefault="00391F94">
      <w:pPr>
        <w:pStyle w:val="newncpi"/>
      </w:pPr>
      <w:r>
        <w:t>внедрению в практику управления и хозяйствования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rsidR="00391F94" w:rsidRDefault="00391F94">
      <w:pPr>
        <w:pStyle w:val="newncpi"/>
      </w:pPr>
      <w:r>
        <w:lastRenderedPageBreak/>
        <w:t>ускоренному развитию материально-технической базы и повышению эффективности деятельности центров коллективного пользования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rsidR="00391F94" w:rsidRDefault="00391F94">
      <w:pPr>
        <w:pStyle w:val="newncpi"/>
      </w:pPr>
      <w:r>
        <w:t>созданию условий для развития изобретательства и технического творчества молодежи;</w:t>
      </w:r>
    </w:p>
    <w:p w:rsidR="00391F94" w:rsidRDefault="00391F94">
      <w:pPr>
        <w:pStyle w:val="newncpi"/>
      </w:pPr>
      <w:r>
        <w:t>созданию условий для трансфера и коммерциализации технологий, созданных в Республике Беларусь и за рубежом;</w:t>
      </w:r>
    </w:p>
    <w:p w:rsidR="00391F94" w:rsidRDefault="00391F94">
      <w:pPr>
        <w:pStyle w:val="newncpi"/>
      </w:pPr>
      <w:r>
        <w:t>развитию и государственной поддержке стартап-движения,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391F94" w:rsidRDefault="00391F94">
      <w:pPr>
        <w:pStyle w:val="newncpi"/>
      </w:pPr>
      <w:r>
        <w:t>увеличению численности исследователей до 22 человек на 10 тыс. населения;</w:t>
      </w:r>
    </w:p>
    <w:p w:rsidR="00391F94" w:rsidRDefault="00391F94">
      <w:pPr>
        <w:pStyle w:val="newncpi"/>
      </w:pPr>
      <w:r>
        <w:t>обеспечению к 2020 году роста удельного веса:</w:t>
      </w:r>
    </w:p>
    <w:p w:rsidR="00391F94" w:rsidRDefault="00391F94">
      <w:pPr>
        <w:pStyle w:val="newncpi"/>
      </w:pPr>
      <w:r>
        <w:t>внебюджетных источников во внутренних затратах на научные исследования и разработки до 60 процентов;</w:t>
      </w:r>
    </w:p>
    <w:p w:rsidR="00391F94" w:rsidRDefault="00391F94">
      <w:pPr>
        <w:pStyle w:val="newncpi"/>
      </w:pPr>
      <w:r>
        <w:t>экспорта наукоемкой и высокотехнологичной продукции в общем объеме белорусского экспорта до 20 процентов;</w:t>
      </w:r>
    </w:p>
    <w:p w:rsidR="00391F94" w:rsidRDefault="00391F94">
      <w:pPr>
        <w:pStyle w:val="newncpi"/>
      </w:pPr>
      <w:r>
        <w:t>высокотехнологичных видов деятельности в общем объеме промышленного производства до 4–6 процентов.</w:t>
      </w:r>
    </w:p>
    <w:p w:rsidR="00391F94" w:rsidRDefault="00391F94">
      <w:pPr>
        <w:pStyle w:val="point"/>
      </w:pPr>
      <w:r>
        <w:rPr>
          <w:b/>
          <w:bCs/>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rsidR="00391F94" w:rsidRDefault="00391F94">
      <w:pPr>
        <w:pStyle w:val="underpoint"/>
      </w:pPr>
      <w:r>
        <w:t>3.1. принять меры по:</w:t>
      </w:r>
    </w:p>
    <w:p w:rsidR="00391F94" w:rsidRDefault="00391F94">
      <w:pPr>
        <w:pStyle w:val="newncpi"/>
      </w:pPr>
      <w:r>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rsidR="00391F94" w:rsidRDefault="00391F94">
      <w:pPr>
        <w:pStyle w:val="newncpi"/>
      </w:pPr>
      <w:r>
        <w:t>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энергоэффективности производства;</w:t>
      </w:r>
    </w:p>
    <w:p w:rsidR="00391F94" w:rsidRDefault="00391F94">
      <w:pPr>
        <w:pStyle w:val="newncpi"/>
      </w:pPr>
      <w:r>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391F94" w:rsidRDefault="00391F94">
      <w:pPr>
        <w:pStyle w:val="newncpi"/>
      </w:pPr>
      <w:r>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rsidR="00391F94" w:rsidRDefault="00391F94">
      <w:pPr>
        <w:pStyle w:val="newncpi"/>
      </w:pPr>
      <w:r>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rsidR="00391F94" w:rsidRDefault="00391F94">
      <w:pPr>
        <w:pStyle w:val="underpoint"/>
      </w:pPr>
      <w:r>
        <w:t>3.2. продолжить системную работу в промышленных организациях по снижению всех видов затрат на производство продукции путем:</w:t>
      </w:r>
    </w:p>
    <w:p w:rsidR="00391F94" w:rsidRDefault="00391F94">
      <w:pPr>
        <w:pStyle w:val="newncpi"/>
      </w:pPr>
      <w:r>
        <w:t>вовлечения в хозяйственный оборот неиспользуемого или неэффективно используемого имущества;</w:t>
      </w:r>
    </w:p>
    <w:p w:rsidR="00391F94" w:rsidRDefault="00391F94">
      <w:pPr>
        <w:pStyle w:val="newncpi"/>
      </w:pPr>
      <w:r>
        <w:t>внедрения современных систем управления ресурсами в крупных организациях с численностью работников более 1000 человек и иных организациях;</w:t>
      </w:r>
    </w:p>
    <w:p w:rsidR="00391F94" w:rsidRDefault="00391F94">
      <w:pPr>
        <w:pStyle w:val="newncpi"/>
      </w:pPr>
      <w:r>
        <w:t>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оптимизации производства, управления организацией, реализации продукции и стратегии развития;</w:t>
      </w:r>
    </w:p>
    <w:p w:rsidR="00391F94" w:rsidRDefault="00391F94">
      <w:pPr>
        <w:pStyle w:val="newncpi"/>
      </w:pPr>
      <w:r>
        <w:lastRenderedPageBreak/>
        <w:t>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rsidR="00391F94" w:rsidRDefault="00391F94">
      <w:pPr>
        <w:pStyle w:val="point"/>
      </w:pPr>
      <w:r>
        <w:rPr>
          <w:b/>
          <w:bCs/>
        </w:rPr>
        <w:t>4. Обеспечить повышение уровня энергетической безопасности страны. В этих целях:</w:t>
      </w:r>
    </w:p>
    <w:p w:rsidR="00391F94" w:rsidRDefault="00391F94">
      <w:pPr>
        <w:pStyle w:val="underpoint"/>
      </w:pPr>
      <w:r>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391F94" w:rsidRDefault="00391F94">
      <w:pPr>
        <w:pStyle w:val="underpoint"/>
      </w:pPr>
      <w:r>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rsidR="00391F94" w:rsidRDefault="00391F94">
      <w:pPr>
        <w:pStyle w:val="underpoint"/>
      </w:pPr>
      <w:r>
        <w:t>4.3. Совету Министров Республики Беларусь:</w:t>
      </w:r>
    </w:p>
    <w:p w:rsidR="00391F94" w:rsidRDefault="00391F94">
      <w:pPr>
        <w:pStyle w:val="newncpi"/>
      </w:pPr>
      <w:r>
        <w:t>определить индикаторы энергетической безопасности, их уровни и принять меры по их достижению;</w:t>
      </w:r>
    </w:p>
    <w:p w:rsidR="00391F94" w:rsidRDefault="00391F94">
      <w:pPr>
        <w:pStyle w:val="newncpi"/>
      </w:pPr>
      <w:r>
        <w:t>выработать действенные меры по стимулированию энергосбережения, в том числе механизмы финансовой поддержки при реализации энергоэффективных мероприятий;</w:t>
      </w:r>
    </w:p>
    <w:p w:rsidR="00391F94" w:rsidRDefault="00391F94">
      <w:pPr>
        <w:pStyle w:val="newncpi"/>
      </w:pPr>
      <w:r>
        <w:t>принять меры по обеспечению:</w:t>
      </w:r>
    </w:p>
    <w:p w:rsidR="00391F94" w:rsidRDefault="00391F94">
      <w:pPr>
        <w:pStyle w:val="newncpi"/>
      </w:pPr>
      <w:r>
        <w:t>снижения рисков и недопущения кризисных ситуаций 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 до 5 млрд. куб. метров импортируемого природного газа;</w:t>
      </w:r>
    </w:p>
    <w:p w:rsidR="00391F94" w:rsidRDefault="00391F94">
      <w:pPr>
        <w:pStyle w:val="newncpi"/>
      </w:pPr>
      <w:r>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
    <w:p w:rsidR="00391F94" w:rsidRDefault="00391F94">
      <w:pPr>
        <w:pStyle w:val="newncpi"/>
      </w:pPr>
      <w:r>
        <w:t>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энергоэффективных технологий, вывода из эксплуатации физически и морально устаревшего оборудования;</w:t>
      </w:r>
    </w:p>
    <w:p w:rsidR="00391F94" w:rsidRDefault="00391F94">
      <w:pPr>
        <w:pStyle w:val="newncpi"/>
      </w:pPr>
      <w:r>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391F94" w:rsidRDefault="00391F94">
      <w:pPr>
        <w:pStyle w:val="newncpi"/>
      </w:pPr>
      <w:r>
        <w:t>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энергоэффективных технологий, энергосберегающего оборудования, приборов и материалов, повышения уровня энергоэффективности посредством технического нормирования, стандартизации, обеспечения единства измерений, оценки соответствия;</w:t>
      </w:r>
    </w:p>
    <w:p w:rsidR="00391F94" w:rsidRDefault="00391F94">
      <w:pPr>
        <w:pStyle w:val="newncpi"/>
      </w:pPr>
      <w:r>
        <w:t>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rsidR="00391F94" w:rsidRDefault="00391F94">
      <w:pPr>
        <w:pStyle w:val="newncpi"/>
      </w:pPr>
      <w:r>
        <w:lastRenderedPageBreak/>
        <w:t>эффективного государственного контроля в сфере рационального использования топливно-энергетических ресурсов;</w:t>
      </w:r>
    </w:p>
    <w:p w:rsidR="00391F94" w:rsidRDefault="00391F94">
      <w:pPr>
        <w:pStyle w:val="newncpi"/>
      </w:pPr>
      <w:r>
        <w:t>строительства локальных энергоисточников с использованием импортируемого топлива, в том числе с комбинированной выработкой тепловой и электрической энергии, в 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rsidR="00391F94" w:rsidRDefault="00391F94">
      <w:pPr>
        <w:pStyle w:val="newncpi"/>
      </w:pPr>
      <w:r>
        <w:t>совместно с облисполкомами и Минским горисполкомом продолжить внедрение в практику проектирования и строительства многоэтажных энергоэффективных жилых домов современных инновационных технологий и оборудования, в том числе основанных на возобновляемых источниках энергии;</w:t>
      </w:r>
    </w:p>
    <w:p w:rsidR="00391F94" w:rsidRDefault="00391F94">
      <w:pPr>
        <w:pStyle w:val="newncpi"/>
      </w:pPr>
      <w:r>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rsidR="00391F94" w:rsidRDefault="00391F94">
      <w:pPr>
        <w:pStyle w:val="newncpi"/>
      </w:pPr>
      <w:r>
        <w:t>широко пропагандировать среди населения необходимость соблюдения режима экономии и бережливости;</w:t>
      </w:r>
    </w:p>
    <w:p w:rsidR="00391F94" w:rsidRDefault="00391F94">
      <w:pPr>
        <w:pStyle w:val="newncpi"/>
      </w:pPr>
      <w:r>
        <w:t>совместно с Национальной академией наук Беларуси и другими заинтересованными обеспечить:</w:t>
      </w:r>
    </w:p>
    <w:p w:rsidR="00391F94" w:rsidRDefault="00391F94">
      <w:pPr>
        <w:pStyle w:val="newncpi"/>
      </w:pPr>
      <w:r>
        <w:t>разработку энерго- и ресурсосберегающих технологий добычи, производства, преобразования, транспортировки и комплексного использования топливно-энергетических и материальных ресурсов, полезных ископаемых;</w:t>
      </w:r>
    </w:p>
    <w:p w:rsidR="00391F94" w:rsidRDefault="00391F94">
      <w:pPr>
        <w:pStyle w:val="newncpi"/>
      </w:pPr>
      <w:r>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391F94" w:rsidRDefault="00391F94">
      <w:pPr>
        <w:pStyle w:val="newncpi"/>
      </w:pPr>
      <w:r>
        <w:t>разработку и реализацию в 2016–2020 годах 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электротехнологий, а также по выравниванию графиков электрических нагрузок в отраслях экономики и социальной сфере.</w:t>
      </w:r>
    </w:p>
    <w:p w:rsidR="00391F94" w:rsidRDefault="00391F94">
      <w:pPr>
        <w:pStyle w:val="point"/>
      </w:pPr>
      <w:r>
        <w:t>5. Совету Министров Республики Беларусь в трехмесячный срок утвердить план мероприятий по реализации положений настоящей Директивы.</w:t>
      </w:r>
    </w:p>
    <w:p w:rsidR="00391F94" w:rsidRDefault="00391F94">
      <w:pPr>
        <w:pStyle w:val="point"/>
      </w:pPr>
      <w:r>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p>
    <w:p w:rsidR="00391F94" w:rsidRDefault="00391F94">
      <w:pPr>
        <w:pStyle w:val="newncpi"/>
      </w:pPr>
      <w:r>
        <w:t> </w:t>
      </w:r>
    </w:p>
    <w:tbl>
      <w:tblPr>
        <w:tblStyle w:val="tablencpi"/>
        <w:tblW w:w="5000" w:type="pct"/>
        <w:tblLook w:val="04A0" w:firstRow="1" w:lastRow="0" w:firstColumn="1" w:lastColumn="0" w:noHBand="0" w:noVBand="1"/>
      </w:tblPr>
      <w:tblGrid>
        <w:gridCol w:w="4678"/>
        <w:gridCol w:w="4679"/>
      </w:tblGrid>
      <w:tr w:rsidR="00391F94">
        <w:tc>
          <w:tcPr>
            <w:tcW w:w="2500" w:type="pct"/>
            <w:tcMar>
              <w:top w:w="0" w:type="dxa"/>
              <w:left w:w="6" w:type="dxa"/>
              <w:bottom w:w="0" w:type="dxa"/>
              <w:right w:w="6" w:type="dxa"/>
            </w:tcMar>
            <w:vAlign w:val="bottom"/>
            <w:hideMark/>
          </w:tcPr>
          <w:p w:rsidR="00391F94" w:rsidRDefault="00391F9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91F94" w:rsidRDefault="00391F94">
            <w:pPr>
              <w:pStyle w:val="newncpi0"/>
              <w:jc w:val="right"/>
            </w:pPr>
            <w:r>
              <w:rPr>
                <w:rStyle w:val="pers"/>
              </w:rPr>
              <w:t>А.Лукашенко</w:t>
            </w:r>
          </w:p>
        </w:tc>
      </w:tr>
    </w:tbl>
    <w:p w:rsidR="00391F94" w:rsidRDefault="00391F94">
      <w:pPr>
        <w:pStyle w:val="newncpi0"/>
      </w:pPr>
      <w:r>
        <w:t> </w:t>
      </w:r>
    </w:p>
    <w:p w:rsidR="00241BA1" w:rsidRDefault="00241BA1"/>
    <w:sectPr w:rsidR="00241BA1" w:rsidSect="00391F9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D5" w:rsidRDefault="009749D5" w:rsidP="00391F94">
      <w:pPr>
        <w:spacing w:after="0" w:line="240" w:lineRule="auto"/>
      </w:pPr>
      <w:r>
        <w:separator/>
      </w:r>
    </w:p>
  </w:endnote>
  <w:endnote w:type="continuationSeparator" w:id="0">
    <w:p w:rsidR="009749D5" w:rsidRDefault="009749D5" w:rsidP="0039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94" w:rsidRDefault="00391F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94" w:rsidRDefault="00391F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91F94" w:rsidTr="00391F94">
      <w:tc>
        <w:tcPr>
          <w:tcW w:w="1800" w:type="dxa"/>
          <w:shd w:val="clear" w:color="auto" w:fill="auto"/>
          <w:vAlign w:val="center"/>
        </w:tcPr>
        <w:p w:rsidR="00391F94" w:rsidRDefault="00391F94">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91F94" w:rsidRDefault="00391F9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91F94" w:rsidRDefault="00391F9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21.12.2020</w:t>
          </w:r>
        </w:p>
        <w:p w:rsidR="00391F94" w:rsidRPr="00391F94" w:rsidRDefault="00391F9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91F94" w:rsidRDefault="00391F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D5" w:rsidRDefault="009749D5" w:rsidP="00391F94">
      <w:pPr>
        <w:spacing w:after="0" w:line="240" w:lineRule="auto"/>
      </w:pPr>
      <w:r>
        <w:separator/>
      </w:r>
    </w:p>
  </w:footnote>
  <w:footnote w:type="continuationSeparator" w:id="0">
    <w:p w:rsidR="009749D5" w:rsidRDefault="009749D5" w:rsidP="00391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94" w:rsidRDefault="00391F94" w:rsidP="00F45D7E">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391F94" w:rsidRDefault="00391F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94" w:rsidRPr="00391F94" w:rsidRDefault="00391F94" w:rsidP="00F45D7E">
    <w:pPr>
      <w:pStyle w:val="a3"/>
      <w:framePr w:wrap="around" w:vAnchor="text" w:hAnchor="margin" w:xAlign="center" w:y="1"/>
      <w:rPr>
        <w:rStyle w:val="a7"/>
        <w:rFonts w:ascii="Times New Roman" w:hAnsi="Times New Roman" w:cs="Times New Roman"/>
        <w:sz w:val="24"/>
      </w:rPr>
    </w:pPr>
    <w:r w:rsidRPr="00391F94">
      <w:rPr>
        <w:rStyle w:val="a7"/>
        <w:rFonts w:ascii="Times New Roman" w:hAnsi="Times New Roman" w:cs="Times New Roman"/>
        <w:sz w:val="24"/>
      </w:rPr>
      <w:fldChar w:fldCharType="begin"/>
    </w:r>
    <w:r w:rsidRPr="00391F94">
      <w:rPr>
        <w:rStyle w:val="a7"/>
        <w:rFonts w:ascii="Times New Roman" w:hAnsi="Times New Roman" w:cs="Times New Roman"/>
        <w:sz w:val="24"/>
      </w:rPr>
      <w:instrText xml:space="preserve"> PAGE </w:instrText>
    </w:r>
    <w:r w:rsidRPr="00391F94">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91F94">
      <w:rPr>
        <w:rStyle w:val="a7"/>
        <w:rFonts w:ascii="Times New Roman" w:hAnsi="Times New Roman" w:cs="Times New Roman"/>
        <w:sz w:val="24"/>
      </w:rPr>
      <w:fldChar w:fldCharType="end"/>
    </w:r>
  </w:p>
  <w:p w:rsidR="00391F94" w:rsidRPr="00391F94" w:rsidRDefault="00391F94">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94" w:rsidRDefault="00391F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94"/>
    <w:rsid w:val="00241BA1"/>
    <w:rsid w:val="00391F94"/>
    <w:rsid w:val="00974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BA7C6-44A5-46B1-AC84-C198D102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91F9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91F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91F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391F9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91F94"/>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91F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91F9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91F94"/>
    <w:rPr>
      <w:rFonts w:ascii="Times New Roman" w:hAnsi="Times New Roman" w:cs="Times New Roman" w:hint="default"/>
      <w:caps/>
    </w:rPr>
  </w:style>
  <w:style w:type="character" w:customStyle="1" w:styleId="promulgator">
    <w:name w:val="promulgator"/>
    <w:basedOn w:val="a0"/>
    <w:rsid w:val="00391F94"/>
    <w:rPr>
      <w:rFonts w:ascii="Times New Roman" w:hAnsi="Times New Roman" w:cs="Times New Roman" w:hint="default"/>
      <w:caps/>
    </w:rPr>
  </w:style>
  <w:style w:type="character" w:customStyle="1" w:styleId="datepr">
    <w:name w:val="datepr"/>
    <w:basedOn w:val="a0"/>
    <w:rsid w:val="00391F94"/>
    <w:rPr>
      <w:rFonts w:ascii="Times New Roman" w:hAnsi="Times New Roman" w:cs="Times New Roman" w:hint="default"/>
    </w:rPr>
  </w:style>
  <w:style w:type="character" w:customStyle="1" w:styleId="number">
    <w:name w:val="number"/>
    <w:basedOn w:val="a0"/>
    <w:rsid w:val="00391F94"/>
    <w:rPr>
      <w:rFonts w:ascii="Times New Roman" w:hAnsi="Times New Roman" w:cs="Times New Roman" w:hint="default"/>
    </w:rPr>
  </w:style>
  <w:style w:type="character" w:customStyle="1" w:styleId="post">
    <w:name w:val="post"/>
    <w:basedOn w:val="a0"/>
    <w:rsid w:val="00391F94"/>
    <w:rPr>
      <w:rFonts w:ascii="Times New Roman" w:hAnsi="Times New Roman" w:cs="Times New Roman" w:hint="default"/>
      <w:b/>
      <w:bCs/>
      <w:sz w:val="22"/>
      <w:szCs w:val="22"/>
    </w:rPr>
  </w:style>
  <w:style w:type="character" w:customStyle="1" w:styleId="pers">
    <w:name w:val="pers"/>
    <w:basedOn w:val="a0"/>
    <w:rsid w:val="00391F94"/>
    <w:rPr>
      <w:rFonts w:ascii="Times New Roman" w:hAnsi="Times New Roman" w:cs="Times New Roman" w:hint="default"/>
      <w:b/>
      <w:bCs/>
      <w:sz w:val="22"/>
      <w:szCs w:val="22"/>
    </w:rPr>
  </w:style>
  <w:style w:type="table" w:customStyle="1" w:styleId="tablencpi">
    <w:name w:val="tablencpi"/>
    <w:basedOn w:val="a1"/>
    <w:rsid w:val="00391F9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391F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F94"/>
  </w:style>
  <w:style w:type="paragraph" w:styleId="a5">
    <w:name w:val="footer"/>
    <w:basedOn w:val="a"/>
    <w:link w:val="a6"/>
    <w:uiPriority w:val="99"/>
    <w:unhideWhenUsed/>
    <w:rsid w:val="00391F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1F94"/>
  </w:style>
  <w:style w:type="character" w:styleId="a7">
    <w:name w:val="page number"/>
    <w:basedOn w:val="a0"/>
    <w:uiPriority w:val="99"/>
    <w:semiHidden/>
    <w:unhideWhenUsed/>
    <w:rsid w:val="00391F94"/>
  </w:style>
  <w:style w:type="table" w:styleId="a8">
    <w:name w:val="Table Grid"/>
    <w:basedOn w:val="a1"/>
    <w:uiPriority w:val="39"/>
    <w:rsid w:val="00391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2161</Words>
  <Characters>17382</Characters>
  <Application>Microsoft Office Word</Application>
  <DocSecurity>0</DocSecurity>
  <Lines>294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1</cp:revision>
  <dcterms:created xsi:type="dcterms:W3CDTF">2020-12-21T07:14:00Z</dcterms:created>
  <dcterms:modified xsi:type="dcterms:W3CDTF">2020-12-21T07:14:00Z</dcterms:modified>
</cp:coreProperties>
</file>